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Calibri" w:cs="Calibri" w:eastAsia="Calibri" w:hAnsi="Calibri"/>
          <w:b/>
          <w:bCs/>
          <w:color w:val="1F3864"/>
          <w:sz w:val="28"/>
          <w:szCs w:val="28"/>
        </w:rPr>
        <w:t xml:space="preserve">SWDA CRITICAL HSE ROLE SUCCESSION PLAN &amp; PROCEDURES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6750"/>
      </w:tblGrid>
      <w:tr>
        <w:tc>
          <w:tcPr>
            <w:tcW w:type="dxa" w:w="2600"/>
            <w:tcBorders>
              <w:top w:val="single" w:color="999999" w:sz="4"/>
              <w:left w:val="single" w:color="999999" w:sz="4"/>
              <w:bottom w:val="single" w:color="999999" w:sz="4"/>
              <w:right w:val="single" w:color="999999" w:sz="4"/>
            </w:tcBorders>
            <w:shd w:fill="F2F2F2" w:val="clear"/>
            <w:tcMar>
              <w:top w:type="dxa" w:w="80"/>
              <w:left w:type="dxa" w:w="100"/>
              <w:bottom w:type="dxa" w:w="80"/>
              <w:right w:type="dxa" w:w="100"/>
            </w:tcMar>
            <w:vAlign w:val="center"/>
          </w:tcPr>
          <w:p>
            <w:r>
              <w:rPr>
                <w:rFonts w:ascii="Calibri" w:cs="Calibri" w:eastAsia="Calibri" w:hAnsi="Calibri"/>
                <w:b/>
                <w:bCs/>
                <w:sz w:val="18"/>
                <w:szCs w:val="18"/>
              </w:rPr>
              <w:t xml:space="preserve">Project</w:t>
            </w:r>
          </w:p>
        </w:tc>
        <w:tc>
          <w:tcPr>
            <w:tcW w:type="dxa" w:w="6750"/>
            <w:gridSpan w:val="1"/>
            <w:tcBorders>
              <w:top w:val="single" w:color="999999" w:sz="4"/>
              <w:left w:val="single" w:color="999999" w:sz="4"/>
              <w:bottom w:val="single" w:color="999999" w:sz="4"/>
              <w:right w:val="single" w:color="999999" w:sz="4"/>
            </w:tcBorders>
            <w:tcMar>
              <w:top w:type="dxa" w:w="80"/>
              <w:left w:type="dxa" w:w="100"/>
              <w:bottom w:type="dxa" w:w="80"/>
              <w:right w:type="dxa" w:w="100"/>
            </w:tcMar>
            <w:vAlign w:val="center"/>
          </w:tcPr>
          <w:p>
            <w:r>
              <w:rPr>
                <w:rFonts w:ascii="Calibri" w:cs="Calibri" w:eastAsia="Calibri" w:hAnsi="Calibri"/>
                <w:sz w:val="18"/>
                <w:szCs w:val="18"/>
              </w:rPr>
              <w:t xml:space="preserve">Provision of Zero-Man Entry &amp; Auto-Tank Cleaning (ATC/NME), Sludge Treatment, Oil Recovery &amp; Waste Management Services at Selected Renaissance Facilities</w:t>
            </w:r>
          </w:p>
        </w:tc>
      </w:tr>
      <w:tr>
        <w:tc>
          <w:tcPr>
            <w:tcW w:type="dxa" w:w="2600"/>
            <w:tcBorders>
              <w:top w:val="single" w:color="999999" w:sz="4"/>
              <w:left w:val="single" w:color="999999" w:sz="4"/>
              <w:bottom w:val="single" w:color="999999" w:sz="4"/>
              <w:right w:val="single" w:color="999999" w:sz="4"/>
            </w:tcBorders>
            <w:shd w:fill="F2F2F2" w:val="clear"/>
            <w:tcMar>
              <w:top w:type="dxa" w:w="80"/>
              <w:left w:type="dxa" w:w="100"/>
              <w:bottom w:type="dxa" w:w="80"/>
              <w:right w:type="dxa" w:w="100"/>
            </w:tcMar>
            <w:vAlign w:val="center"/>
          </w:tcPr>
          <w:p>
            <w:r>
              <w:rPr>
                <w:rFonts w:ascii="Calibri" w:cs="Calibri" w:eastAsia="Calibri" w:hAnsi="Calibri"/>
                <w:b/>
                <w:bCs/>
                <w:sz w:val="18"/>
                <w:szCs w:val="18"/>
              </w:rPr>
              <w:t xml:space="preserve">Contract/Tender No.</w:t>
            </w:r>
          </w:p>
        </w:tc>
        <w:tc>
          <w:tcPr>
            <w:tcW w:type="dxa" w:w="6750"/>
            <w:gridSpan w:val="1"/>
            <w:tcBorders>
              <w:top w:val="single" w:color="999999" w:sz="4"/>
              <w:left w:val="single" w:color="999999" w:sz="4"/>
              <w:bottom w:val="single" w:color="999999" w:sz="4"/>
              <w:right w:val="single" w:color="999999" w:sz="4"/>
            </w:tcBorders>
            <w:tcMar>
              <w:top w:type="dxa" w:w="80"/>
              <w:left w:type="dxa" w:w="100"/>
              <w:bottom w:type="dxa" w:w="80"/>
              <w:right w:type="dxa" w:w="100"/>
            </w:tcMar>
            <w:vAlign w:val="center"/>
          </w:tcPr>
          <w:p>
            <w:r>
              <w:rPr>
                <w:rFonts w:ascii="Calibri" w:cs="Calibri" w:eastAsia="Calibri" w:hAnsi="Calibri"/>
                <w:sz w:val="18"/>
                <w:szCs w:val="18"/>
              </w:rPr>
              <w:t xml:space="preserve">Renaissance-CW-68582 / CW-515913</w:t>
            </w:r>
          </w:p>
        </w:tc>
      </w:tr>
      <w:tr>
        <w:tc>
          <w:tcPr>
            <w:tcW w:type="dxa" w:w="2600"/>
            <w:tcBorders>
              <w:top w:val="single" w:color="999999" w:sz="4"/>
              <w:left w:val="single" w:color="999999" w:sz="4"/>
              <w:bottom w:val="single" w:color="999999" w:sz="4"/>
              <w:right w:val="single" w:color="999999" w:sz="4"/>
            </w:tcBorders>
            <w:shd w:fill="F2F2F2" w:val="clear"/>
            <w:tcMar>
              <w:top w:type="dxa" w:w="80"/>
              <w:left w:type="dxa" w:w="100"/>
              <w:bottom w:type="dxa" w:w="80"/>
              <w:right w:type="dxa" w:w="100"/>
            </w:tcMar>
            <w:vAlign w:val="center"/>
          </w:tcPr>
          <w:p>
            <w:r>
              <w:rPr>
                <w:rFonts w:ascii="Calibri" w:cs="Calibri" w:eastAsia="Calibri" w:hAnsi="Calibri"/>
                <w:b/>
                <w:bCs/>
                <w:sz w:val="18"/>
                <w:szCs w:val="18"/>
              </w:rPr>
              <w:t xml:space="preserve">Reference</w:t>
            </w:r>
          </w:p>
        </w:tc>
        <w:tc>
          <w:tcPr>
            <w:tcW w:type="dxa" w:w="6750"/>
            <w:gridSpan w:val="1"/>
            <w:tcBorders>
              <w:top w:val="single" w:color="999999" w:sz="4"/>
              <w:left w:val="single" w:color="999999" w:sz="4"/>
              <w:bottom w:val="single" w:color="999999" w:sz="4"/>
              <w:right w:val="single" w:color="999999" w:sz="4"/>
            </w:tcBorders>
            <w:tcMar>
              <w:top w:type="dxa" w:w="80"/>
              <w:left w:type="dxa" w:w="100"/>
              <w:bottom w:type="dxa" w:w="80"/>
              <w:right w:type="dxa" w:w="100"/>
            </w:tcMar>
            <w:vAlign w:val="center"/>
          </w:tcPr>
          <w:p>
            <w:r>
              <w:rPr>
                <w:rFonts w:ascii="Calibri" w:cs="Calibri" w:eastAsia="Calibri" w:hAnsi="Calibri"/>
                <w:sz w:val="18"/>
                <w:szCs w:val="18"/>
              </w:rPr>
              <w:t xml:space="preserve">Ref: SWDA HSE Plan, Section 4.3.3 – HSE Resources &amp; Staffing of HSE Critical Roles</w:t>
            </w:r>
          </w:p>
        </w:tc>
      </w:tr>
      <w:tr>
        <w:tc>
          <w:tcPr>
            <w:tcW w:type="dxa" w:w="2600"/>
            <w:tcBorders>
              <w:top w:val="single" w:color="999999" w:sz="4"/>
              <w:left w:val="single" w:color="999999" w:sz="4"/>
              <w:bottom w:val="single" w:color="999999" w:sz="4"/>
              <w:right w:val="single" w:color="999999" w:sz="4"/>
            </w:tcBorders>
            <w:shd w:fill="F2F2F2" w:val="clear"/>
            <w:tcMar>
              <w:top w:type="dxa" w:w="80"/>
              <w:left w:type="dxa" w:w="100"/>
              <w:bottom w:type="dxa" w:w="80"/>
              <w:right w:type="dxa" w:w="100"/>
            </w:tcMar>
            <w:vAlign w:val="center"/>
          </w:tcPr>
          <w:p>
            <w:r>
              <w:rPr>
                <w:rFonts w:ascii="Calibri" w:cs="Calibri" w:eastAsia="Calibri" w:hAnsi="Calibri"/>
                <w:b/>
                <w:bCs/>
                <w:sz w:val="18"/>
                <w:szCs w:val="18"/>
              </w:rPr>
              <w:t xml:space="preserve">Procedure No.</w:t>
            </w:r>
          </w:p>
        </w:tc>
        <w:tc>
          <w:tcPr>
            <w:tcW w:type="dxa" w:w="6750"/>
            <w:gridSpan w:val="1"/>
            <w:tcBorders>
              <w:top w:val="single" w:color="999999" w:sz="4"/>
              <w:left w:val="single" w:color="999999" w:sz="4"/>
              <w:bottom w:val="single" w:color="999999" w:sz="4"/>
              <w:right w:val="single" w:color="999999" w:sz="4"/>
            </w:tcBorders>
            <w:tcMar>
              <w:top w:type="dxa" w:w="80"/>
              <w:left w:type="dxa" w:w="100"/>
              <w:bottom w:type="dxa" w:w="80"/>
              <w:right w:type="dxa" w:w="100"/>
            </w:tcMar>
            <w:vAlign w:val="center"/>
          </w:tcPr>
          <w:p>
            <w:r>
              <w:rPr>
                <w:rFonts w:ascii="Calibri" w:cs="Calibri" w:eastAsia="Calibri" w:hAnsi="Calibri"/>
                <w:sz w:val="18"/>
                <w:szCs w:val="18"/>
              </w:rPr>
              <w:t xml:space="preserve">SWDA-HSE-SUC-001, Rev. 0</w:t>
            </w:r>
          </w:p>
        </w:tc>
      </w:tr>
      <w:tr>
        <w:tc>
          <w:tcPr>
            <w:tcW w:type="dxa" w:w="2600"/>
            <w:tcBorders>
              <w:top w:val="single" w:color="999999" w:sz="4"/>
              <w:left w:val="single" w:color="999999" w:sz="4"/>
              <w:bottom w:val="single" w:color="999999" w:sz="4"/>
              <w:right w:val="single" w:color="999999" w:sz="4"/>
            </w:tcBorders>
            <w:shd w:fill="F2F2F2" w:val="clear"/>
            <w:tcMar>
              <w:top w:type="dxa" w:w="80"/>
              <w:left w:type="dxa" w:w="100"/>
              <w:bottom w:type="dxa" w:w="80"/>
              <w:right w:type="dxa" w:w="100"/>
            </w:tcMar>
            <w:vAlign w:val="center"/>
          </w:tcPr>
          <w:p>
            <w:r>
              <w:rPr>
                <w:rFonts w:ascii="Calibri" w:cs="Calibri" w:eastAsia="Calibri" w:hAnsi="Calibri"/>
                <w:b/>
                <w:bCs/>
                <w:sz w:val="18"/>
                <w:szCs w:val="18"/>
              </w:rPr>
              <w:t xml:space="preserve">Effective Date</w:t>
            </w:r>
          </w:p>
        </w:tc>
        <w:tc>
          <w:tcPr>
            <w:tcW w:type="dxa" w:w="6750"/>
            <w:gridSpan w:val="1"/>
            <w:tcBorders>
              <w:top w:val="single" w:color="999999" w:sz="4"/>
              <w:left w:val="single" w:color="999999" w:sz="4"/>
              <w:bottom w:val="single" w:color="999999" w:sz="4"/>
              <w:right w:val="single" w:color="999999" w:sz="4"/>
            </w:tcBorders>
            <w:tcMar>
              <w:top w:type="dxa" w:w="80"/>
              <w:left w:type="dxa" w:w="100"/>
              <w:bottom w:type="dxa" w:w="80"/>
              <w:right w:type="dxa" w:w="100"/>
            </w:tcMar>
            <w:vAlign w:val="center"/>
          </w:tcPr>
          <w:p>
            <w:r>
              <w:rPr>
                <w:rFonts w:ascii="Calibri" w:cs="Calibri" w:eastAsia="Calibri" w:hAnsi="Calibri"/>
                <w:sz w:val="18"/>
                <w:szCs w:val="18"/>
              </w:rPr>
              <w:t xml:space="preserve">[Insert Date]</w:t>
            </w:r>
          </w:p>
        </w:tc>
      </w:tr>
    </w:tbl>
    <w:p>
      <w:pPr>
        <w:shd w:fill="1F3864" w:val="clear"/>
        <w:spacing w:after="120" w:before="260"/>
      </w:pPr>
      <w:r>
        <w:rPr>
          <w:rFonts w:ascii="Calibri" w:cs="Calibri" w:eastAsia="Calibri" w:hAnsi="Calibri"/>
          <w:b/>
          <w:bCs/>
          <w:color w:val="FFFFFF"/>
          <w:sz w:val="21"/>
          <w:szCs w:val="21"/>
        </w:rPr>
        <w:t xml:space="preserve">1.0  PURPOSE</w:t>
      </w:r>
    </w:p>
    <w:p>
      <w:pPr>
        <w:spacing w:after="120"/>
      </w:pPr>
      <w:r>
        <w:rPr>
          <w:rFonts w:ascii="Calibri" w:cs="Calibri" w:eastAsia="Calibri" w:hAnsi="Calibri"/>
          <w:i w:val="false"/>
          <w:iCs w:val="false"/>
          <w:sz w:val="20"/>
          <w:szCs w:val="20"/>
        </w:rPr>
        <w:t xml:space="preserve">This Procedure establishes SWDA's approach to identifying Critical HSE Roles and ensuring that qualified, competent backup/successor personnel are designated and prepared to assume these roles without interruption, in line with the Company's HSE Plan requirement (Section 4.3.3 – HSE Resources) that current resourcing levels remain sufficient to staff all HSE Critical Roles at all times, and that leave rotations or personnel changes do not increase HSE risk or compromise HSE Critical Activities.</w:t>
      </w:r>
    </w:p>
    <w:p>
      <w:pPr>
        <w:shd w:fill="1F3864" w:val="clear"/>
        <w:spacing w:after="120" w:before="260"/>
      </w:pPr>
      <w:r>
        <w:rPr>
          <w:rFonts w:ascii="Calibri" w:cs="Calibri" w:eastAsia="Calibri" w:hAnsi="Calibri"/>
          <w:b/>
          <w:bCs/>
          <w:color w:val="FFFFFF"/>
          <w:sz w:val="21"/>
          <w:szCs w:val="21"/>
        </w:rPr>
        <w:t xml:space="preserve">2.0  SCOPE</w:t>
      </w:r>
    </w:p>
    <w:p>
      <w:pPr>
        <w:spacing w:after="120"/>
      </w:pPr>
      <w:r>
        <w:rPr>
          <w:rFonts w:ascii="Calibri" w:cs="Calibri" w:eastAsia="Calibri" w:hAnsi="Calibri"/>
          <w:i w:val="false"/>
          <w:iCs w:val="false"/>
          <w:sz w:val="20"/>
          <w:szCs w:val="20"/>
        </w:rPr>
        <w:t xml:space="preserve">This Procedure applies to all positions designated as HSE Critical Roles across SWDA's Lagos Office, Kidney Island (KI) Warehouse, and all active Project Sites under the Renaissance ATC/NME Tank Cleaning Project.</w:t>
      </w:r>
    </w:p>
    <w:p>
      <w:pPr>
        <w:shd w:fill="1F3864" w:val="clear"/>
        <w:spacing w:after="120" w:before="260"/>
      </w:pPr>
      <w:r>
        <w:rPr>
          <w:rFonts w:ascii="Calibri" w:cs="Calibri" w:eastAsia="Calibri" w:hAnsi="Calibri"/>
          <w:b/>
          <w:bCs/>
          <w:color w:val="FFFFFF"/>
          <w:sz w:val="21"/>
          <w:szCs w:val="21"/>
        </w:rPr>
        <w:t xml:space="preserve">3.0  IDENTIFICATION OF CRITICAL HSE ROLES</w:t>
      </w:r>
    </w:p>
    <w:p>
      <w:pPr>
        <w:spacing w:after="120"/>
      </w:pPr>
      <w:r>
        <w:rPr>
          <w:rFonts w:ascii="Calibri" w:cs="Calibri" w:eastAsia="Calibri" w:hAnsi="Calibri"/>
          <w:i w:val="false"/>
          <w:iCs w:val="false"/>
          <w:sz w:val="20"/>
          <w:szCs w:val="20"/>
        </w:rPr>
        <w:t xml:space="preserve">A role is designated “HSE Critical” where its absence or vacancy could compromise HSE-MS effectiveness, PTW/JHSA oversight, emergency response capability, or regulatory/client compliance. The roles below have been identified as Critical HSE Roles for this Project:</w:t>
      </w:r>
    </w:p>
    <w:p>
      <w:pPr>
        <w:pStyle w:val="ListParagraph"/>
        <w:numPr>
          <w:ilvl w:val="0"/>
          <w:numId w:val="1"/>
        </w:numPr>
        <w:spacing w:after="80"/>
      </w:pPr>
      <w:r>
        <w:rPr>
          <w:rFonts w:ascii="Calibri" w:cs="Calibri" w:eastAsia="Calibri" w:hAnsi="Calibri"/>
          <w:sz w:val="20"/>
          <w:szCs w:val="20"/>
        </w:rPr>
        <w:t xml:space="preserve">Group CEO / Managing Director – HSE Accountable Executive</w:t>
      </w:r>
    </w:p>
    <w:p>
      <w:pPr>
        <w:pStyle w:val="ListParagraph"/>
        <w:numPr>
          <w:ilvl w:val="0"/>
          <w:numId w:val="1"/>
        </w:numPr>
        <w:spacing w:after="80"/>
      </w:pPr>
      <w:r>
        <w:rPr>
          <w:rFonts w:ascii="Calibri" w:cs="Calibri" w:eastAsia="Calibri" w:hAnsi="Calibri"/>
          <w:sz w:val="20"/>
          <w:szCs w:val="20"/>
        </w:rPr>
        <w:t xml:space="preserve">COO / Executive Director, Operations &amp; Projects</w:t>
      </w:r>
    </w:p>
    <w:p>
      <w:pPr>
        <w:pStyle w:val="ListParagraph"/>
        <w:numPr>
          <w:ilvl w:val="0"/>
          <w:numId w:val="1"/>
        </w:numPr>
        <w:spacing w:after="80"/>
      </w:pPr>
      <w:r>
        <w:rPr>
          <w:rFonts w:ascii="Calibri" w:cs="Calibri" w:eastAsia="Calibri" w:hAnsi="Calibri"/>
          <w:sz w:val="20"/>
          <w:szCs w:val="20"/>
        </w:rPr>
        <w:t xml:space="preserve">Senior Project Manager</w:t>
      </w:r>
    </w:p>
    <w:p>
      <w:pPr>
        <w:pStyle w:val="ListParagraph"/>
        <w:numPr>
          <w:ilvl w:val="0"/>
          <w:numId w:val="1"/>
        </w:numPr>
        <w:spacing w:after="80"/>
      </w:pPr>
      <w:r>
        <w:rPr>
          <w:rFonts w:ascii="Calibri" w:cs="Calibri" w:eastAsia="Calibri" w:hAnsi="Calibri"/>
          <w:sz w:val="20"/>
          <w:szCs w:val="20"/>
        </w:rPr>
        <w:t xml:space="preserve">HSE Manager</w:t>
      </w:r>
    </w:p>
    <w:p>
      <w:pPr>
        <w:pStyle w:val="ListParagraph"/>
        <w:numPr>
          <w:ilvl w:val="0"/>
          <w:numId w:val="1"/>
        </w:numPr>
        <w:spacing w:after="80"/>
      </w:pPr>
      <w:r>
        <w:rPr>
          <w:rFonts w:ascii="Calibri" w:cs="Calibri" w:eastAsia="Calibri" w:hAnsi="Calibri"/>
          <w:sz w:val="20"/>
          <w:szCs w:val="20"/>
        </w:rPr>
        <w:t xml:space="preserve">Lead Entrant Supervisor</w:t>
      </w:r>
    </w:p>
    <w:p>
      <w:pPr>
        <w:pStyle w:val="ListParagraph"/>
        <w:numPr>
          <w:ilvl w:val="0"/>
          <w:numId w:val="1"/>
        </w:numPr>
        <w:spacing w:after="80"/>
      </w:pPr>
      <w:r>
        <w:rPr>
          <w:rFonts w:ascii="Calibri" w:cs="Calibri" w:eastAsia="Calibri" w:hAnsi="Calibri"/>
          <w:sz w:val="20"/>
          <w:szCs w:val="20"/>
        </w:rPr>
        <w:t xml:space="preserve">Site HSE Officer (per site)</w:t>
      </w:r>
    </w:p>
    <w:p>
      <w:pPr>
        <w:pStyle w:val="ListParagraph"/>
        <w:numPr>
          <w:ilvl w:val="0"/>
          <w:numId w:val="1"/>
        </w:numPr>
        <w:spacing w:after="80"/>
      </w:pPr>
      <w:r>
        <w:rPr>
          <w:rFonts w:ascii="Calibri" w:cs="Calibri" w:eastAsia="Calibri" w:hAnsi="Calibri"/>
          <w:sz w:val="20"/>
          <w:szCs w:val="20"/>
        </w:rPr>
        <w:t xml:space="preserve">Document Controller / QA-QC</w:t>
      </w:r>
    </w:p>
    <w:p>
      <w:pPr>
        <w:shd w:fill="1F3864" w:val="clear"/>
        <w:spacing w:after="120" w:before="260"/>
      </w:pPr>
      <w:r>
        <w:rPr>
          <w:rFonts w:ascii="Calibri" w:cs="Calibri" w:eastAsia="Calibri" w:hAnsi="Calibri"/>
          <w:b/>
          <w:bCs/>
          <w:color w:val="FFFFFF"/>
          <w:sz w:val="21"/>
          <w:szCs w:val="21"/>
        </w:rPr>
        <w:t xml:space="preserve">4.0  SUCCESSION / BACKUP MATRIX</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900"/>
        <w:gridCol w:w="2400"/>
        <w:gridCol w:w="2400"/>
        <w:gridCol w:w="2650"/>
      </w:tblGrid>
      <w:tr>
        <w:tc>
          <w:tcPr>
            <w:tcW w:type="dxa" w:w="1900"/>
            <w:tcBorders>
              <w:top w:val="single" w:color="999999" w:sz="4"/>
              <w:left w:val="single" w:color="999999" w:sz="4"/>
              <w:bottom w:val="single" w:color="999999" w:sz="4"/>
              <w:right w:val="single" w:color="999999" w:sz="4"/>
            </w:tcBorders>
            <w:shd w:fill="1F3864" w:val="clear"/>
            <w:tcMar>
              <w:top w:type="dxa" w:w="70"/>
              <w:left w:type="dxa" w:w="90"/>
              <w:bottom w:type="dxa" w:w="70"/>
              <w:right w:type="dxa" w:w="90"/>
            </w:tcMar>
            <w:vAlign w:val="center"/>
          </w:tcPr>
          <w:p>
            <w:pPr>
              <w:jc w:val="center"/>
            </w:pPr>
            <w:r>
              <w:rPr>
                <w:rFonts w:ascii="Calibri" w:cs="Calibri" w:eastAsia="Calibri" w:hAnsi="Calibri"/>
                <w:b/>
                <w:bCs/>
                <w:color w:val="FFFFFF"/>
                <w:sz w:val="17"/>
                <w:szCs w:val="17"/>
              </w:rPr>
              <w:t xml:space="preserve">Critical HSE Role</w:t>
            </w:r>
          </w:p>
        </w:tc>
        <w:tc>
          <w:tcPr>
            <w:tcW w:type="dxa" w:w="2400"/>
            <w:tcBorders>
              <w:top w:val="single" w:color="999999" w:sz="4"/>
              <w:left w:val="single" w:color="999999" w:sz="4"/>
              <w:bottom w:val="single" w:color="999999" w:sz="4"/>
              <w:right w:val="single" w:color="999999" w:sz="4"/>
            </w:tcBorders>
            <w:shd w:fill="1F3864" w:val="clear"/>
            <w:tcMar>
              <w:top w:type="dxa" w:w="70"/>
              <w:left w:type="dxa" w:w="90"/>
              <w:bottom w:type="dxa" w:w="70"/>
              <w:right w:type="dxa" w:w="90"/>
            </w:tcMar>
            <w:vAlign w:val="center"/>
          </w:tcPr>
          <w:p>
            <w:pPr>
              <w:jc w:val="center"/>
            </w:pPr>
            <w:r>
              <w:rPr>
                <w:rFonts w:ascii="Calibri" w:cs="Calibri" w:eastAsia="Calibri" w:hAnsi="Calibri"/>
                <w:b/>
                <w:bCs/>
                <w:color w:val="FFFFFF"/>
                <w:sz w:val="17"/>
                <w:szCs w:val="17"/>
              </w:rPr>
              <w:t xml:space="preserve">Primary Holder</w:t>
            </w:r>
          </w:p>
        </w:tc>
        <w:tc>
          <w:tcPr>
            <w:tcW w:type="dxa" w:w="2400"/>
            <w:tcBorders>
              <w:top w:val="single" w:color="999999" w:sz="4"/>
              <w:left w:val="single" w:color="999999" w:sz="4"/>
              <w:bottom w:val="single" w:color="999999" w:sz="4"/>
              <w:right w:val="single" w:color="999999" w:sz="4"/>
            </w:tcBorders>
            <w:shd w:fill="1F3864" w:val="clear"/>
            <w:tcMar>
              <w:top w:type="dxa" w:w="70"/>
              <w:left w:type="dxa" w:w="90"/>
              <w:bottom w:type="dxa" w:w="70"/>
              <w:right w:type="dxa" w:w="90"/>
            </w:tcMar>
            <w:vAlign w:val="center"/>
          </w:tcPr>
          <w:p>
            <w:pPr>
              <w:jc w:val="center"/>
            </w:pPr>
            <w:r>
              <w:rPr>
                <w:rFonts w:ascii="Calibri" w:cs="Calibri" w:eastAsia="Calibri" w:hAnsi="Calibri"/>
                <w:b/>
                <w:bCs/>
                <w:color w:val="FFFFFF"/>
                <w:sz w:val="17"/>
                <w:szCs w:val="17"/>
              </w:rPr>
              <w:t xml:space="preserve">Designated Backup/Successor</w:t>
            </w:r>
          </w:p>
        </w:tc>
        <w:tc>
          <w:tcPr>
            <w:tcW w:type="dxa" w:w="2650"/>
            <w:tcBorders>
              <w:top w:val="single" w:color="999999" w:sz="4"/>
              <w:left w:val="single" w:color="999999" w:sz="4"/>
              <w:bottom w:val="single" w:color="999999" w:sz="4"/>
              <w:right w:val="single" w:color="999999" w:sz="4"/>
            </w:tcBorders>
            <w:shd w:fill="1F3864" w:val="clear"/>
            <w:tcMar>
              <w:top w:type="dxa" w:w="70"/>
              <w:left w:type="dxa" w:w="90"/>
              <w:bottom w:type="dxa" w:w="70"/>
              <w:right w:type="dxa" w:w="90"/>
            </w:tcMar>
            <w:vAlign w:val="center"/>
          </w:tcPr>
          <w:p>
            <w:pPr>
              <w:jc w:val="center"/>
            </w:pPr>
            <w:r>
              <w:rPr>
                <w:rFonts w:ascii="Calibri" w:cs="Calibri" w:eastAsia="Calibri" w:hAnsi="Calibri"/>
                <w:b/>
                <w:bCs/>
                <w:color w:val="FFFFFF"/>
                <w:sz w:val="17"/>
                <w:szCs w:val="17"/>
              </w:rPr>
              <w:t xml:space="preserve">Activation Trigger / Minimum Competency</w:t>
            </w:r>
          </w:p>
        </w:tc>
      </w:tr>
      <w:tr>
        <w:tc>
          <w:tcPr>
            <w:tcW w:type="dxa" w:w="19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Group CEO / Managing Director (HSE Accountable Executive)</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Mr. Gliffeth Wonuigwe</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Engr. Ned Jessup, P.E. (COO)</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Absence/travel &gt; 5 days, incapacity, or emergency; must hold Senior HSE Leadership training</w:t>
            </w:r>
          </w:p>
        </w:tc>
      </w:tr>
      <w:tr>
        <w:tc>
          <w:tcPr>
            <w:tcW w:type="dxa" w:w="19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COO / Executive Director, Ops &amp; Projects</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Engr. Ned Jessup, P.E.</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Senior Project Manager</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Absence/leave, incapacity; must be briefed on all active PTWs &amp; open HSE actions</w:t>
            </w:r>
          </w:p>
        </w:tc>
      </w:tr>
      <w:tr>
        <w:tc>
          <w:tcPr>
            <w:tcW w:type="dxa" w:w="19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Senior Project Manager</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Miracle Maduforo</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 – Deputy Project Manager / HSE Manager</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Leave, travel, incapacity; must hold Project &amp; Risk Management competency</w:t>
            </w:r>
          </w:p>
        </w:tc>
      </w:tr>
      <w:tr>
        <w:tc>
          <w:tcPr>
            <w:tcW w:type="dxa" w:w="19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HSE Manager</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 – Senior Site HSE Officer</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Leave, illness, or incapacity; must hold NEBOSH/equivalent HSE certification</w:t>
            </w:r>
          </w:p>
        </w:tc>
      </w:tr>
      <w:tr>
        <w:tc>
          <w:tcPr>
            <w:tcW w:type="dxa" w:w="19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Lead Entrant Supervisor</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Moses Ehinor</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 – Senior Entrant Supervisor</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Leave, rotation, incapacity; must hold Confined Space/NME Supervisor certification</w:t>
            </w:r>
          </w:p>
        </w:tc>
      </w:tr>
      <w:tr>
        <w:tc>
          <w:tcPr>
            <w:tcW w:type="dxa" w:w="19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Site HSE Officer (per site)</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 – Assistant HSE Officer</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Leave, rotation, incapacity; must hold basic HSE Officer certification &amp; gas-testing competency</w:t>
            </w:r>
          </w:p>
        </w:tc>
      </w:tr>
      <w:tr>
        <w:tc>
          <w:tcPr>
            <w:tcW w:type="dxa" w:w="19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Document Controller / QA-QC</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w:t>
            </w:r>
          </w:p>
        </w:tc>
        <w:tc>
          <w:tcPr>
            <w:tcW w:type="dxa" w:w="240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[Name]</w:t>
            </w:r>
          </w:p>
        </w:tc>
        <w:tc>
          <w:tcPr>
            <w:tcW w:type="dxa" w:w="2650"/>
            <w:tcBorders>
              <w:top w:val="single" w:color="999999" w:sz="4"/>
              <w:left w:val="single" w:color="999999" w:sz="4"/>
              <w:bottom w:val="single" w:color="999999" w:sz="4"/>
              <w:right w:val="single" w:color="999999" w:sz="4"/>
            </w:tcBorders>
            <w:tcMar>
              <w:top w:type="dxa" w:w="60"/>
              <w:left w:type="dxa" w:w="80"/>
              <w:bottom w:type="dxa" w:w="60"/>
              <w:right w:type="dxa" w:w="80"/>
            </w:tcMar>
            <w:vAlign w:val="center"/>
          </w:tcPr>
          <w:p>
            <w:pPr>
              <w:jc w:val="left"/>
            </w:pPr>
            <w:r>
              <w:rPr>
                <w:rFonts w:ascii="Calibri" w:cs="Calibri" w:eastAsia="Calibri" w:hAnsi="Calibri"/>
                <w:sz w:val="17"/>
                <w:szCs w:val="17"/>
              </w:rPr>
              <w:t xml:space="preserve">Leave, incapacity; must be trained on SWDA Document Control &amp; Management Review Procedure</w:t>
            </w:r>
          </w:p>
        </w:tc>
      </w:tr>
    </w:tbl>
    <w:p>
      <w:pPr>
        <w:shd w:fill="1F3864" w:val="clear"/>
        <w:spacing w:after="120" w:before="260"/>
      </w:pPr>
      <w:r>
        <w:rPr>
          <w:rFonts w:ascii="Calibri" w:cs="Calibri" w:eastAsia="Calibri" w:hAnsi="Calibri"/>
          <w:b/>
          <w:bCs/>
          <w:color w:val="FFFFFF"/>
          <w:sz w:val="21"/>
          <w:szCs w:val="21"/>
        </w:rPr>
        <w:t xml:space="preserve">5.0  ACTIVATION PROCEDURE</w:t>
      </w:r>
    </w:p>
    <w:p>
      <w:pPr>
        <w:pStyle w:val="ListParagraph"/>
        <w:numPr>
          <w:ilvl w:val="0"/>
          <w:numId w:val="1"/>
        </w:numPr>
        <w:spacing w:after="80"/>
      </w:pPr>
      <w:r>
        <w:rPr>
          <w:rFonts w:ascii="Calibri" w:cs="Calibri" w:eastAsia="Calibri" w:hAnsi="Calibri"/>
          <w:sz w:val="20"/>
          <w:szCs w:val="20"/>
        </w:rPr>
        <w:t xml:space="preserve">The Primary Role Holder shall notify their direct line manager and the HSE Department in advance of any planned absence (leave, travel, training).</w:t>
      </w:r>
    </w:p>
    <w:p>
      <w:pPr>
        <w:pStyle w:val="ListParagraph"/>
        <w:numPr>
          <w:ilvl w:val="0"/>
          <w:numId w:val="1"/>
        </w:numPr>
        <w:spacing w:after="80"/>
      </w:pPr>
      <w:r>
        <w:rPr>
          <w:rFonts w:ascii="Calibri" w:cs="Calibri" w:eastAsia="Calibri" w:hAnsi="Calibri"/>
          <w:sz w:val="20"/>
          <w:szCs w:val="20"/>
        </w:rPr>
        <w:t xml:space="preserve">In the event of unplanned absence or incapacity, the designated Backup/Successor shall be activated immediately by the next-level Manager or the MD.</w:t>
      </w:r>
    </w:p>
    <w:p>
      <w:pPr>
        <w:pStyle w:val="ListParagraph"/>
        <w:numPr>
          <w:ilvl w:val="0"/>
          <w:numId w:val="1"/>
        </w:numPr>
        <w:spacing w:after="80"/>
      </w:pPr>
      <w:r>
        <w:rPr>
          <w:rFonts w:ascii="Calibri" w:cs="Calibri" w:eastAsia="Calibri" w:hAnsi="Calibri"/>
          <w:sz w:val="20"/>
          <w:szCs w:val="20"/>
        </w:rPr>
        <w:t xml:space="preserve">The Backup/Successor shall be briefed on all open HSE actions, active Permits-to-Work (PTWs), ongoing JHSAs, and any pending audit/inspection findings prior to or immediately upon assuming the role.</w:t>
      </w:r>
    </w:p>
    <w:p>
      <w:pPr>
        <w:pStyle w:val="ListParagraph"/>
        <w:numPr>
          <w:ilvl w:val="0"/>
          <w:numId w:val="1"/>
        </w:numPr>
        <w:spacing w:after="80"/>
      </w:pPr>
      <w:r>
        <w:rPr>
          <w:rFonts w:ascii="Calibri" w:cs="Calibri" w:eastAsia="Calibri" w:hAnsi="Calibri"/>
          <w:sz w:val="20"/>
          <w:szCs w:val="20"/>
        </w:rPr>
        <w:t xml:space="preserve">No HSE Critical Role shall remain vacant, and Project activities requiring that role's sign-off (e.g. PTW approval) shall not proceed until the Backup/Successor is formally activated.</w:t>
      </w:r>
    </w:p>
    <w:p>
      <w:pPr>
        <w:pStyle w:val="ListParagraph"/>
        <w:numPr>
          <w:ilvl w:val="0"/>
          <w:numId w:val="1"/>
        </w:numPr>
        <w:spacing w:after="80"/>
      </w:pPr>
      <w:r>
        <w:rPr>
          <w:rFonts w:ascii="Calibri" w:cs="Calibri" w:eastAsia="Calibri" w:hAnsi="Calibri"/>
          <w:sz w:val="20"/>
          <w:szCs w:val="20"/>
        </w:rPr>
        <w:t xml:space="preserve">All activations shall be logged in the HSE Critical Role Activation Log, maintained by the HSE Department.</w:t>
      </w:r>
    </w:p>
    <w:p>
      <w:pPr>
        <w:shd w:fill="1F3864" w:val="clear"/>
        <w:spacing w:after="120" w:before="260"/>
      </w:pPr>
      <w:r>
        <w:rPr>
          <w:rFonts w:ascii="Calibri" w:cs="Calibri" w:eastAsia="Calibri" w:hAnsi="Calibri"/>
          <w:b/>
          <w:bCs/>
          <w:color w:val="FFFFFF"/>
          <w:sz w:val="21"/>
          <w:szCs w:val="21"/>
        </w:rPr>
        <w:t xml:space="preserve">6.0  COMPETENCY &amp; READINESS REQUIREMENTS</w:t>
      </w:r>
    </w:p>
    <w:p>
      <w:pPr>
        <w:pStyle w:val="ListParagraph"/>
        <w:numPr>
          <w:ilvl w:val="0"/>
          <w:numId w:val="1"/>
        </w:numPr>
        <w:spacing w:after="80"/>
      </w:pPr>
      <w:r>
        <w:rPr>
          <w:rFonts w:ascii="Calibri" w:cs="Calibri" w:eastAsia="Calibri" w:hAnsi="Calibri"/>
          <w:sz w:val="20"/>
          <w:szCs w:val="20"/>
        </w:rPr>
        <w:t xml:space="preserve">Each designated Backup/Successor shall hold the minimum competency/certification required for the role, as indicated in Section 4.0.</w:t>
      </w:r>
    </w:p>
    <w:p>
      <w:pPr>
        <w:pStyle w:val="ListParagraph"/>
        <w:numPr>
          <w:ilvl w:val="0"/>
          <w:numId w:val="1"/>
        </w:numPr>
        <w:spacing w:after="80"/>
      </w:pPr>
      <w:r>
        <w:rPr>
          <w:rFonts w:ascii="Calibri" w:cs="Calibri" w:eastAsia="Calibri" w:hAnsi="Calibri"/>
          <w:sz w:val="20"/>
          <w:szCs w:val="20"/>
        </w:rPr>
        <w:t xml:space="preserve">Backup/Successor personnel shall undergo periodic shadowing/on-the-job familiarisation with the Primary Role Holder, at minimum quarterly.</w:t>
      </w:r>
    </w:p>
    <w:p>
      <w:pPr>
        <w:pStyle w:val="ListParagraph"/>
        <w:numPr>
          <w:ilvl w:val="0"/>
          <w:numId w:val="1"/>
        </w:numPr>
        <w:spacing w:after="80"/>
      </w:pPr>
      <w:r>
        <w:rPr>
          <w:rFonts w:ascii="Calibri" w:cs="Calibri" w:eastAsia="Calibri" w:hAnsi="Calibri"/>
          <w:sz w:val="20"/>
          <w:szCs w:val="20"/>
        </w:rPr>
        <w:t xml:space="preserve">Competency gaps identified shall be closed through the SWDA Managerial Training Programme and Training Plan/Matrix.</w:t>
      </w:r>
    </w:p>
    <w:p>
      <w:pPr>
        <w:shd w:fill="1F3864" w:val="clear"/>
        <w:spacing w:after="120" w:before="260"/>
      </w:pPr>
      <w:r>
        <w:rPr>
          <w:rFonts w:ascii="Calibri" w:cs="Calibri" w:eastAsia="Calibri" w:hAnsi="Calibri"/>
          <w:b/>
          <w:bCs/>
          <w:color w:val="FFFFFF"/>
          <w:sz w:val="21"/>
          <w:szCs w:val="21"/>
        </w:rPr>
        <w:t xml:space="preserve">7.0  REVIEW</w:t>
      </w:r>
    </w:p>
    <w:p>
      <w:pPr>
        <w:spacing w:after="120"/>
      </w:pPr>
      <w:r>
        <w:rPr>
          <w:rFonts w:ascii="Calibri" w:cs="Calibri" w:eastAsia="Calibri" w:hAnsi="Calibri"/>
          <w:i w:val="false"/>
          <w:iCs w:val="false"/>
          <w:sz w:val="20"/>
          <w:szCs w:val="20"/>
        </w:rPr>
        <w:t xml:space="preserve">This Succession Plan shall be reviewed by Senior Management at minimum every six (6) months, or immediately following any change in personnel, project scope, or site resourcing, to ensure continued adequacy of Critical HSE Role coverage.</w:t>
      </w:r>
    </w:p>
    <w:p>
      <w:pPr>
        <w:shd w:fill="1F3864" w:val="clear"/>
        <w:spacing w:after="120" w:before="260"/>
      </w:pPr>
      <w:r>
        <w:rPr>
          <w:rFonts w:ascii="Calibri" w:cs="Calibri" w:eastAsia="Calibri" w:hAnsi="Calibri"/>
          <w:b/>
          <w:bCs/>
          <w:color w:val="FFFFFF"/>
          <w:sz w:val="21"/>
          <w:szCs w:val="21"/>
        </w:rPr>
        <w:t xml:space="preserve">8.0  ENDORSEMENT</w:t>
      </w:r>
    </w:p>
    <w:p>
      <w:pPr>
        <w:spacing w:after="120"/>
      </w:pPr>
      <w:r>
        <w:rPr>
          <w:rFonts w:ascii="Calibri" w:cs="Calibri" w:eastAsia="Calibri" w:hAnsi="Calibri"/>
          <w:i/>
          <w:iCs/>
          <w:sz w:val="20"/>
          <w:szCs w:val="20"/>
        </w:rPr>
        <w:t xml:space="preserve">This SWDA Critical HSE Role Succession Plan &amp; Procedures has been reviewed and is hereby endorsed for implementation across all SWDA offices and Project sites.</w:t>
      </w:r>
    </w:p>
    <w:p>
      <w:pPr>
        <w:spacing w:before="300"/>
      </w:pPr>
      <w:r>
        <w:rPr>
          <w:rFonts w:ascii="Calibri" w:cs="Calibri" w:eastAsia="Calibri" w:hAnsi="Calibri"/>
          <w:sz w:val="20"/>
          <w:szCs w:val="20"/>
        </w:rPr>
        <w:t xml:space="preserve">SIGNED:  ______________________________</w:t>
      </w:r>
    </w:p>
    <w:p>
      <w:pPr>
        <w:spacing w:before="100"/>
      </w:pPr>
      <w:r>
        <w:rPr>
          <w:rFonts w:ascii="Calibri" w:cs="Calibri" w:eastAsia="Calibri" w:hAnsi="Calibri"/>
          <w:b/>
          <w:bCs/>
          <w:sz w:val="20"/>
          <w:szCs w:val="20"/>
        </w:rPr>
        <w:t xml:space="preserve">Mr. Gliffeth Wonuigwe</w:t>
      </w:r>
    </w:p>
    <w:p>
      <w:r>
        <w:rPr>
          <w:rFonts w:ascii="Calibri" w:cs="Calibri" w:eastAsia="Calibri" w:hAnsi="Calibri"/>
          <w:sz w:val="18"/>
          <w:szCs w:val="18"/>
        </w:rPr>
        <w:t xml:space="preserve">Group CEO / Managing Director – South West Design Africa Ltd. (SWDA)</w:t>
      </w:r>
    </w:p>
    <w:p>
      <w:pPr>
        <w:spacing w:before="100"/>
      </w:pPr>
      <w:r>
        <w:rPr>
          <w:rFonts w:ascii="Calibri" w:cs="Calibri" w:eastAsia="Calibri" w:hAnsi="Calibri"/>
          <w:sz w:val="18"/>
          <w:szCs w:val="18"/>
        </w:rPr>
        <w:t xml:space="preserve">Date: ______________________________</w:t>
      </w:r>
    </w:p>
    <w:sectPr>
      <w:headerReference w:type="default" r:id="rId7"/>
      <w:footerReference w:type="default" r:id="rId8"/>
      <w:pgSz w:w="12240" w:h="15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6"/>
        <w:szCs w:val="16"/>
      </w:rPr>
      <w:t xml:space="preserve">SWDA Critical HSE Role Succession Plan &amp; Procedures  |  Page </w:t>
    </w:r>
    <w:r>
      <w:rPr>
        <w:rFonts w:ascii="Calibri" w:cs="Calibri" w:eastAsia="Calibri" w:hAnsi="Calibri"/>
        <w:sz w:val="16"/>
        <w:szCs w:val="16"/>
      </w:rPr>
      <w:fldChar w:fldCharType="begin"/>
      <w:instrText xml:space="preserve">PAGE</w:instrText>
      <w:fldChar w:fldCharType="separate"/>
      <w:fldChar w:fldCharType="end"/>
    </w:r>
    <w:r>
      <w:rPr>
        <w:rFonts w:ascii="Calibri" w:cs="Calibri" w:eastAsia="Calibri" w:hAnsi="Calibri"/>
        <w:sz w:val="16"/>
        <w:szCs w:val="16"/>
      </w:rPr>
      <w:t xml:space="preserve"> of </w:t>
    </w:r>
    <w:r>
      <w:rPr>
        <w:rFonts w:ascii="Calibri" w:cs="Calibri" w:eastAsia="Calibri" w:hAnsi="Calibri"/>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Calibri" w:cs="Calibri" w:eastAsia="Calibri" w:hAnsi="Calibri"/>
        <w:b/>
        <w:bCs/>
        <w:color w:val="1F3864"/>
        <w:sz w:val="24"/>
        <w:szCs w:val="24"/>
      </w:rPr>
      <w:t xml:space="preserve">SOUTH WEST DESIGN AFRICA LTD. (SWDA)</w:t>
    </w:r>
  </w:p>
  <w:p>
    <w:pPr>
      <w:spacing w:after="120"/>
      <w:jc w:val="center"/>
    </w:pPr>
    <w:r>
      <w:rPr>
        <w:rFonts w:ascii="Calibri" w:cs="Calibri" w:eastAsia="Calibri" w:hAnsi="Calibri"/>
        <w:i/>
        <w:iCs/>
        <w:sz w:val="18"/>
        <w:szCs w:val="18"/>
      </w:rPr>
      <w:t xml:space="preserve">SWDA – RENAISSANCE 18-Tank ATC/NME Cleaning Project</w:t>
    </w:r>
  </w:p>
  <w:p>
    <w:pPr>
      <w:pBdr>
        <w:bottom w:val="single" w:color="1F3864" w:sz="12"/>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2026-08-04T11:31:22.970Z</dcterms:created>
  <dcterms:modified xsi:type="dcterms:W3CDTF">2026-08-04T11:31:22.985Z</dcterms:modified>
</cp:coreProperties>
</file>

<file path=docProps/custom.xml><?xml version="1.0" encoding="utf-8"?>
<Properties xmlns="http://schemas.openxmlformats.org/officeDocument/2006/custom-properties" xmlns:vt="http://schemas.openxmlformats.org/officeDocument/2006/docPropsVTypes"/>
</file>