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500"/>
        <w:jc w:val="center"/>
      </w:pPr>
      <w:r>
        <w:rPr>
          <w:rFonts w:ascii="Calibri" w:cs="Calibri" w:eastAsia="Calibri" w:hAnsi="Calibri"/>
          <w:b/>
          <w:bCs/>
          <w:color w:val="1F3864"/>
          <w:sz w:val="30"/>
          <w:szCs w:val="30"/>
        </w:rPr>
        <w:t xml:space="preserve">SOUTH WEST DESIGN AFRICA LIMITED</w:t>
      </w:r>
    </w:p>
    <w:p>
      <w:pPr>
        <w:spacing w:after="500" w:before="80"/>
        <w:jc w:val="center"/>
      </w:pPr>
      <w:r>
        <w:rPr>
          <w:rFonts w:ascii="Calibri" w:cs="Calibri" w:eastAsia="Calibri" w:hAnsi="Calibri"/>
          <w:i/>
          <w:iCs/>
          <w:color w:val="595959"/>
          <w:sz w:val="22"/>
          <w:szCs w:val="22"/>
        </w:rPr>
        <w:t xml:space="preserve">in partnership with Renaissance Africa Energy Company (RAEC)</w:t>
      </w:r>
    </w:p>
    <w:p>
      <w:pPr>
        <w:spacing w:after="0" w:before="700"/>
        <w:jc w:val="center"/>
      </w:pPr>
      <w:r>
        <w:rPr>
          <w:rFonts w:ascii="Calibri" w:cs="Calibri" w:eastAsia="Calibri" w:hAnsi="Calibri"/>
          <w:b/>
          <w:bCs/>
          <w:sz w:val="24"/>
          <w:szCs w:val="24"/>
        </w:rPr>
        <w:t xml:space="preserve">18-TANK AUTOMATIC TANK CLEANING (ATC) &amp; NO-MAN ENTRY (NME)</w:t>
      </w:r>
    </w:p>
    <w:p>
      <w:pPr>
        <w:spacing w:after="500" w:before="60"/>
        <w:jc w:val="center"/>
      </w:pPr>
      <w:r>
        <w:rPr>
          <w:rFonts w:ascii="Calibri" w:cs="Calibri" w:eastAsia="Calibri" w:hAnsi="Calibri"/>
          <w:b/>
          <w:bCs/>
          <w:sz w:val="24"/>
          <w:szCs w:val="24"/>
        </w:rPr>
        <w:t xml:space="preserve">TANK CLEANING, SLUDGE TREATMENT &amp; OIL RECOVERY PROJECT</w:t>
      </w:r>
    </w:p>
    <w:p>
      <w:pPr>
        <w:pBdr>
          <w:top w:val="single" w:color="0F6B72" w:sz="12" w:space="8"/>
          <w:bottom w:val="single" w:color="0F6B72" w:sz="12" w:space="8"/>
        </w:pBdr>
        <w:spacing w:after="0" w:before="700"/>
        <w:jc w:val="center"/>
      </w:pPr>
      <w:r>
        <w:rPr>
          <w:rFonts w:ascii="Calibri" w:cs="Calibri" w:eastAsia="Calibri" w:hAnsi="Calibri"/>
          <w:b/>
          <w:bCs/>
          <w:color w:val="0F6B72"/>
          <w:sz w:val="32"/>
          <w:szCs w:val="32"/>
        </w:rPr>
        <w:t xml:space="preserve">HSE ENVIRONMENTAL RISK ANALYSIS</w:t>
      </w:r>
    </w:p>
    <w:p>
      <w:pPr>
        <w:spacing w:after="0" w:before="140"/>
        <w:jc w:val="center"/>
      </w:pPr>
      <w:r>
        <w:rPr>
          <w:rFonts w:ascii="Calibri" w:cs="Calibri" w:eastAsia="Calibri" w:hAnsi="Calibri"/>
          <w:i/>
          <w:iCs/>
          <w:color w:val="595959"/>
          <w:sz w:val="20"/>
          <w:szCs w:val="20"/>
        </w:rPr>
        <w:t xml:space="preserve">Threat – Barrier – Consequence (Bowtie) Register for Environmental Top Events</w:t>
      </w:r>
    </w:p>
    <w:p>
      <w:pPr>
        <w:spacing w:after="40" w:before="500"/>
        <w:jc w:val="center"/>
      </w:pPr>
      <w:r>
        <w:rPr>
          <w:rFonts w:ascii="Calibri" w:cs="Calibri" w:eastAsia="Calibri" w:hAnsi="Calibri"/>
          <w:sz w:val="22"/>
          <w:szCs w:val="22"/>
        </w:rPr>
        <w:t xml:space="preserve">Contract / Tender Nos.: CW-68582 / CW-515913</w:t>
      </w:r>
    </w:p>
    <w:p>
      <w:pPr>
        <w:spacing w:after="40"/>
        <w:jc w:val="center"/>
      </w:pPr>
      <w:r>
        <w:rPr>
          <w:rFonts w:ascii="Calibri" w:cs="Calibri" w:eastAsia="Calibri" w:hAnsi="Calibri"/>
          <w:sz w:val="22"/>
          <w:szCs w:val="22"/>
        </w:rPr>
        <w:t xml:space="preserve">Project Locations: Bonny, Gbaran, Soku, Forcados &amp; Kidney Island (Port Harcourt), Nigeria</w:t>
      </w:r>
    </w:p>
    <w:p>
      <w:pPr>
        <w:spacing w:after="800"/>
        <w:jc w:val="center"/>
      </w:pPr>
      <w:r>
        <w:rPr>
          <w:rFonts w:ascii="Calibri" w:cs="Calibri" w:eastAsia="Calibri" w:hAnsi="Calibri"/>
          <w:sz w:val="22"/>
          <w:szCs w:val="22"/>
        </w:rPr>
        <w:t xml:space="preserve">Document Date: August 2026  |  Revision: 0</w:t>
      </w:r>
    </w:p>
    <w:p>
      <w:pPr>
        <w:spacing w:after="200" w:before="300"/>
      </w:pPr>
      <w:r>
        <w:rPr>
          <w:rFonts w:ascii="Calibri" w:cs="Calibri" w:eastAsia="Calibri" w:hAnsi="Calibri"/>
          <w:b/>
          <w:bCs/>
          <w:color w:val="1F3864"/>
          <w:sz w:val="22"/>
          <w:szCs w:val="22"/>
        </w:rPr>
        <w:t xml:space="preserve">Document Control</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300"/>
        <w:gridCol w:w="2200"/>
        <w:gridCol w:w="4200"/>
        <w:gridCol w:w="2000"/>
      </w:tblGrid>
      <w:tr>
        <w:trPr>
          <w:tblHeader/>
        </w:trPr>
        <w:tc>
          <w:tcPr>
            <w:tcW w:type="dxa" w:w="13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Rev</w:t>
            </w:r>
          </w:p>
        </w:tc>
        <w:tc>
          <w:tcPr>
            <w:tcW w:type="dxa" w:w="22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Date</w:t>
            </w:r>
          </w:p>
        </w:tc>
        <w:tc>
          <w:tcPr>
            <w:tcW w:type="dxa" w:w="42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Description</w:t>
            </w:r>
          </w:p>
        </w:tc>
        <w:tc>
          <w:tcPr>
            <w:tcW w:type="dxa" w:w="20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Status</w:t>
            </w:r>
          </w:p>
        </w:tc>
      </w:tr>
      <w:tr>
        <w:tc>
          <w:tcPr>
            <w:tcW w:type="dxa" w:w="1300"/>
            <w:tcMar>
              <w:top w:type="dxa" w:w="90"/>
              <w:left w:type="dxa" w:w="110"/>
              <w:bottom w:type="dxa" w:w="90"/>
              <w:right w:type="dxa" w:w="110"/>
            </w:tcMar>
            <w:vAlign w:val="center"/>
          </w:tcPr>
          <w:p>
            <w:r>
              <w:rPr>
                <w:rFonts w:ascii="Calibri" w:cs="Calibri" w:eastAsia="Calibri" w:hAnsi="Calibri"/>
                <w:b w:val="false"/>
                <w:bCs w:val="false"/>
                <w:sz w:val="18"/>
                <w:szCs w:val="18"/>
              </w:rPr>
              <w:t xml:space="preserve">0</w:t>
            </w:r>
          </w:p>
        </w:tc>
        <w:tc>
          <w:tcPr>
            <w:tcW w:type="dxa" w:w="2200"/>
            <w:tcMar>
              <w:top w:type="dxa" w:w="90"/>
              <w:left w:type="dxa" w:w="110"/>
              <w:bottom w:type="dxa" w:w="90"/>
              <w:right w:type="dxa" w:w="110"/>
            </w:tcMar>
            <w:vAlign w:val="center"/>
          </w:tcPr>
          <w:p>
            <w:r>
              <w:rPr>
                <w:rFonts w:ascii="Calibri" w:cs="Calibri" w:eastAsia="Calibri" w:hAnsi="Calibri"/>
                <w:b w:val="false"/>
                <w:bCs w:val="false"/>
                <w:sz w:val="18"/>
                <w:szCs w:val="18"/>
              </w:rPr>
              <w:t xml:space="preserve">Aug 2026</w:t>
            </w:r>
          </w:p>
        </w:tc>
        <w:tc>
          <w:tcPr>
            <w:tcW w:type="dxa" w:w="4200"/>
            <w:tcMar>
              <w:top w:type="dxa" w:w="90"/>
              <w:left w:type="dxa" w:w="110"/>
              <w:bottom w:type="dxa" w:w="90"/>
              <w:right w:type="dxa" w:w="110"/>
            </w:tcMar>
            <w:vAlign w:val="center"/>
          </w:tcPr>
          <w:p>
            <w:r>
              <w:rPr>
                <w:rFonts w:ascii="Calibri" w:cs="Calibri" w:eastAsia="Calibri" w:hAnsi="Calibri"/>
                <w:b w:val="false"/>
                <w:bCs w:val="false"/>
                <w:sz w:val="18"/>
                <w:szCs w:val="18"/>
              </w:rPr>
              <w:t xml:space="preserve">Issued for Project HSE Plan integration – Environmental Risk Analysis (Bowtie Register), mapping environmental threat causes to consequences and safety barriers for the RAEC 18-Tank Cleaning Project</w:t>
            </w:r>
          </w:p>
        </w:tc>
        <w:tc>
          <w:tcPr>
            <w:tcW w:type="dxa" w:w="2000"/>
            <w:tcMar>
              <w:top w:type="dxa" w:w="90"/>
              <w:left w:type="dxa" w:w="110"/>
              <w:bottom w:type="dxa" w:w="90"/>
              <w:right w:type="dxa" w:w="110"/>
            </w:tcMar>
            <w:vAlign w:val="center"/>
          </w:tcPr>
          <w:p>
            <w:r>
              <w:rPr>
                <w:rFonts w:ascii="Calibri" w:cs="Calibri" w:eastAsia="Calibri" w:hAnsi="Calibri"/>
                <w:b w:val="false"/>
                <w:bCs w:val="false"/>
                <w:sz w:val="18"/>
                <w:szCs w:val="18"/>
              </w:rPr>
              <w:t xml:space="preserve">Draft for Review</w:t>
            </w:r>
          </w:p>
        </w:tc>
      </w:tr>
    </w:tbl>
    <w:p>
      <w:pPr>
        <w:spacing w:after="0" w:before="260"/>
      </w:pPr>
      <w:r>
        <w:rPr>
          <w:rFonts w:ascii="Calibri" w:cs="Calibri" w:eastAsia="Calibri" w:hAnsi="Calibri"/>
          <w:color w:val="595959"/>
          <w:sz w:val="19"/>
          <w:szCs w:val="19"/>
        </w:rPr>
        <w:t xml:space="preserve">Prepared by: HSE Department, South West Design Africa Limited</w:t>
      </w:r>
    </w:p>
    <w:p>
      <w:pPr>
        <w:spacing w:after="0"/>
      </w:pPr>
      <w:r>
        <w:rPr>
          <w:rFonts w:ascii="Calibri" w:cs="Calibri" w:eastAsia="Calibri" w:hAnsi="Calibri"/>
          <w:color w:val="595959"/>
          <w:sz w:val="19"/>
          <w:szCs w:val="19"/>
        </w:rPr>
        <w:t xml:space="preserve">Reviewed by: Project HSE Manager</w:t>
      </w:r>
    </w:p>
    <w:p>
      <w:pPr>
        <w:spacing w:after="0"/>
      </w:pPr>
      <w:r>
        <w:rPr>
          <w:rFonts w:ascii="Calibri" w:cs="Calibri" w:eastAsia="Calibri" w:hAnsi="Calibri"/>
          <w:color w:val="595959"/>
          <w:sz w:val="19"/>
          <w:szCs w:val="19"/>
        </w:rPr>
        <w:t xml:space="preserve">Approved by: CEO / Managing Director, SWDA</w:t>
      </w:r>
    </w:p>
    <w:p>
      <w:pPr>
        <w:sectPr>
          <w:pgSz w:w="12240" w:h="15840" w:orient="portrait"/>
          <w:pgMar w:top="1350" w:right="1350" w:bottom="1350" w:left="1350" w:header="708" w:footer="708" w:gutter="0"/>
          <w:pgNumType/>
          <w:docGrid w:linePitch="360"/>
        </w:sectPr>
      </w:pPr>
    </w:p>
    <w:p>
      <w:pPr>
        <w:pStyle w:val="Heading1"/>
        <w:pBdr>
          <w:bottom w:val="single" w:color="0F6B72" w:sz="8" w:space="4"/>
        </w:pBdr>
        <w:spacing w:after="160" w:before="360"/>
      </w:pPr>
      <w:r>
        <w:rPr>
          <w:rFonts w:ascii="Calibri" w:cs="Calibri" w:eastAsia="Calibri" w:hAnsi="Calibri"/>
          <w:b/>
          <w:bCs/>
          <w:color w:val="1F3864"/>
          <w:sz w:val="27"/>
          <w:szCs w:val="27"/>
        </w:rPr>
        <w:t xml:space="preserve">TABLE OF CONTENTS</w:t>
      </w:r>
    </w:p>
    <w:p>
      <w:pPr>
        <w:spacing w:after="130"/>
      </w:pPr>
      <w:r>
        <w:rPr>
          <w:rFonts w:ascii="Calibri" w:cs="Calibri" w:eastAsia="Calibri" w:hAnsi="Calibri"/>
          <w:sz w:val="21"/>
          <w:szCs w:val="21"/>
        </w:rPr>
        <w:t xml:space="preserve">1.0  Introduction &amp; Purpose</w:t>
      </w:r>
    </w:p>
    <w:p>
      <w:pPr>
        <w:spacing w:after="130"/>
      </w:pPr>
      <w:r>
        <w:rPr>
          <w:rFonts w:ascii="Calibri" w:cs="Calibri" w:eastAsia="Calibri" w:hAnsi="Calibri"/>
          <w:sz w:val="21"/>
          <w:szCs w:val="21"/>
        </w:rPr>
        <w:t xml:space="preserve">2.0  Scope</w:t>
      </w:r>
    </w:p>
    <w:p>
      <w:pPr>
        <w:spacing w:after="130"/>
      </w:pPr>
      <w:r>
        <w:rPr>
          <w:rFonts w:ascii="Calibri" w:cs="Calibri" w:eastAsia="Calibri" w:hAnsi="Calibri"/>
          <w:sz w:val="21"/>
          <w:szCs w:val="21"/>
        </w:rPr>
        <w:t xml:space="preserve">3.0  Methodology – HEMP &amp; Bowtie Risk Analysis</w:t>
      </w:r>
    </w:p>
    <w:p>
      <w:pPr>
        <w:spacing w:after="130"/>
      </w:pPr>
      <w:r>
        <w:rPr>
          <w:rFonts w:ascii="Calibri" w:cs="Calibri" w:eastAsia="Calibri" w:hAnsi="Calibri"/>
          <w:sz w:val="21"/>
          <w:szCs w:val="21"/>
        </w:rPr>
        <w:t xml:space="preserve">4.0  Risk Assessment Matrix &amp; Barrier Adequacy Criteria</w:t>
      </w:r>
    </w:p>
    <w:p>
      <w:pPr>
        <w:spacing w:after="130"/>
      </w:pPr>
      <w:r>
        <w:rPr>
          <w:rFonts w:ascii="Calibri" w:cs="Calibri" w:eastAsia="Calibri" w:hAnsi="Calibri"/>
          <w:sz w:val="21"/>
          <w:szCs w:val="21"/>
        </w:rPr>
        <w:t xml:space="preserve">5.0  Environmental Top Events – Summary Register</w:t>
      </w:r>
    </w:p>
    <w:p>
      <w:pPr>
        <w:spacing w:after="130"/>
      </w:pPr>
      <w:r>
        <w:rPr>
          <w:rFonts w:ascii="Calibri" w:cs="Calibri" w:eastAsia="Calibri" w:hAnsi="Calibri"/>
          <w:sz w:val="21"/>
          <w:szCs w:val="21"/>
        </w:rPr>
        <w:t xml:space="preserve">6.0  Detailed Threat – Barrier – Consequence Analysis (TE-1 to TE-10)</w:t>
      </w:r>
    </w:p>
    <w:p>
      <w:pPr>
        <w:spacing w:after="130"/>
      </w:pPr>
      <w:r>
        <w:rPr>
          <w:rFonts w:ascii="Calibri" w:cs="Calibri" w:eastAsia="Calibri" w:hAnsi="Calibri"/>
          <w:sz w:val="21"/>
          <w:szCs w:val="21"/>
        </w:rPr>
        <w:t xml:space="preserve">7.0  Barrier Adequacy Verification</w:t>
      </w:r>
    </w:p>
    <w:p>
      <w:pPr>
        <w:spacing w:after="130"/>
      </w:pPr>
      <w:r>
        <w:rPr>
          <w:rFonts w:ascii="Calibri" w:cs="Calibri" w:eastAsia="Calibri" w:hAnsi="Calibri"/>
          <w:sz w:val="21"/>
          <w:szCs w:val="21"/>
        </w:rPr>
        <w:t xml:space="preserve">8.0  Recommendations &amp; Action Tracking</w:t>
      </w:r>
    </w:p>
    <w:p>
      <w:pPr>
        <w:spacing w:after="130"/>
      </w:pPr>
      <w:r>
        <w:rPr>
          <w:rFonts w:ascii="Calibri" w:cs="Calibri" w:eastAsia="Calibri" w:hAnsi="Calibri"/>
          <w:sz w:val="21"/>
          <w:szCs w:val="21"/>
        </w:rPr>
        <w:t xml:space="preserve">9.0  Review &amp; Document Control</w:t>
      </w:r>
    </w:p>
    <w:p>
      <w:r>
        <w:br w:type="page"/>
      </w:r>
    </w:p>
    <w:p>
      <w:pPr>
        <w:pStyle w:val="Heading1"/>
        <w:pBdr>
          <w:bottom w:val="single" w:color="0F6B72" w:sz="8" w:space="4"/>
        </w:pBdr>
        <w:spacing w:after="160" w:before="360"/>
      </w:pPr>
      <w:r>
        <w:rPr>
          <w:rFonts w:ascii="Calibri" w:cs="Calibri" w:eastAsia="Calibri" w:hAnsi="Calibri"/>
          <w:b/>
          <w:bCs/>
          <w:color w:val="1F3864"/>
          <w:sz w:val="27"/>
          <w:szCs w:val="27"/>
        </w:rPr>
        <w:t xml:space="preserve">1.0  Introduction &amp; Purpose</w:t>
      </w:r>
    </w:p>
    <w:p>
      <w:pPr>
        <w:spacing w:after="160" w:line="276"/>
      </w:pPr>
      <w:r>
        <w:rPr>
          <w:rFonts w:ascii="Calibri" w:cs="Calibri" w:eastAsia="Calibri" w:hAnsi="Calibri"/>
          <w:sz w:val="21"/>
          <w:szCs w:val="21"/>
        </w:rPr>
        <w:t xml:space="preserve">This HSE Environmental Risk Analysis maps the principal environmental threat causes associated with SWDA’s Automatic Tank Cleaning (ATC) &amp; No-Man Entry (NME) Tank Cleaning, Sludge Treatment, Oil Recovery &amp; Waste Management Project for Renaissance Africa Energy Company (RAEC) – Contract/Tender Nos.: CW-68582 / CW-515913 – to their potential consequences, and identifies the preventive and mitigative safety barriers already in place to manage each risk to As Low As Reasonably Practicable (ALARP).</w:t>
      </w:r>
    </w:p>
    <w:p>
      <w:pPr>
        <w:spacing w:after="160" w:line="276"/>
      </w:pPr>
      <w:r>
        <w:rPr>
          <w:rFonts w:ascii="Calibri" w:cs="Calibri" w:eastAsia="Calibri" w:hAnsi="Calibri"/>
          <w:sz w:val="21"/>
          <w:szCs w:val="21"/>
        </w:rPr>
        <w:t xml:space="preserve">It applies SWDA’s own Hazard &amp; Effects Management Process (HEMP) and Bowtie Analysis methodology, as defined in Section 4.4 of the Project HSE Plan, specifically to the environmental Top Events arising from tank cleaning, oil recovery and waste handling activities across the five Project tank sites.</w:t>
      </w:r>
    </w:p>
    <w:p>
      <w:pPr>
        <w:pStyle w:val="Heading1"/>
        <w:pBdr>
          <w:bottom w:val="single" w:color="0F6B72" w:sz="8" w:space="4"/>
        </w:pBdr>
        <w:spacing w:after="160" w:before="360"/>
      </w:pPr>
      <w:r>
        <w:rPr>
          <w:rFonts w:ascii="Calibri" w:cs="Calibri" w:eastAsia="Calibri" w:hAnsi="Calibri"/>
          <w:b/>
          <w:bCs/>
          <w:color w:val="1F3864"/>
          <w:sz w:val="27"/>
          <w:szCs w:val="27"/>
        </w:rPr>
        <w:t xml:space="preserve">2.0  Scope</w:t>
      </w:r>
    </w:p>
    <w:p>
      <w:pPr>
        <w:spacing w:after="160" w:line="276"/>
      </w:pPr>
      <w:r>
        <w:rPr>
          <w:rFonts w:ascii="Calibri" w:cs="Calibri" w:eastAsia="Calibri" w:hAnsi="Calibri"/>
          <w:sz w:val="21"/>
          <w:szCs w:val="21"/>
        </w:rPr>
        <w:t xml:space="preserve">This analysis covers environmental Top Events – loss of containment, spillage, uncontrolled discharge, fire/explosion with environmental consequence, and non-compliant waste handling – arising from SWDA’s tank cleaning, sludge treatment, oil recovery, chemical handling, refuelling, line-breaking and waste transport activities at Bonny, Gbaran, Soku, Forcados and the Kidney Island (Port Harcourt) support base. It draws directly on the Hazard/Risk registers, Job Safety Analyses (JSAs) and controls already documented in the Project HSE Plan, Waste Management Plan (WMP) and Project Execution &amp; Risk Management Plan (PE&amp;RMP).</w:t>
      </w:r>
    </w:p>
    <w:p>
      <w:pPr>
        <w:spacing w:after="160" w:line="276"/>
      </w:pPr>
      <w:r>
        <w:rPr>
          <w:rFonts w:ascii="Calibri" w:cs="Calibri" w:eastAsia="Calibri" w:hAnsi="Calibri"/>
          <w:sz w:val="21"/>
          <w:szCs w:val="21"/>
        </w:rPr>
        <w:t xml:space="preserve">Occupational (non-environmental) hazards such as manual handling, working at height and confined space entry are addressed in the Project HSE Plan’s JSA register and are referenced here only where they share a barrier with an environmental Top Event.</w:t>
      </w:r>
    </w:p>
    <w:p>
      <w:pPr>
        <w:pStyle w:val="Heading1"/>
        <w:pBdr>
          <w:bottom w:val="single" w:color="0F6B72" w:sz="8" w:space="4"/>
        </w:pBdr>
        <w:spacing w:after="160" w:before="360"/>
      </w:pPr>
      <w:r>
        <w:rPr>
          <w:rFonts w:ascii="Calibri" w:cs="Calibri" w:eastAsia="Calibri" w:hAnsi="Calibri"/>
          <w:b/>
          <w:bCs/>
          <w:color w:val="1F3864"/>
          <w:sz w:val="27"/>
          <w:szCs w:val="27"/>
        </w:rPr>
        <w:t xml:space="preserve">3.0  Methodology – HEMP &amp; Bowtie Risk Analysis</w:t>
      </w:r>
    </w:p>
    <w:p>
      <w:pPr>
        <w:spacing w:after="160" w:line="276"/>
      </w:pPr>
      <w:r>
        <w:rPr>
          <w:rFonts w:ascii="Calibri" w:cs="Calibri" w:eastAsia="Calibri" w:hAnsi="Calibri"/>
          <w:sz w:val="21"/>
          <w:szCs w:val="21"/>
        </w:rPr>
        <w:t xml:space="preserve">Consistent with SWDA’s HSE-MS Hazard &amp; Effects Management Process (HEMP), each environmental Top Event in this register is analysed using the Bowtie technique prescribed for Major and Significant Hazards:</w:t>
      </w:r>
    </w:p>
    <w:p>
      <w:pPr>
        <w:pStyle w:val="ListParagraph"/>
        <w:numPr>
          <w:ilvl w:val="0"/>
          <w:numId w:val="2"/>
        </w:numPr>
        <w:spacing w:after="80" w:line="258"/>
      </w:pPr>
      <w:r>
        <w:rPr>
          <w:rFonts w:ascii="Calibri" w:cs="Calibri" w:eastAsia="Calibri" w:hAnsi="Calibri"/>
          <w:sz w:val="19"/>
          <w:szCs w:val="19"/>
        </w:rPr>
        <w:t xml:space="preserve">Threats (Causes) – the credible causes that could release the hazard and initiate the Top Event;</w:t>
      </w:r>
    </w:p>
    <w:p>
      <w:pPr>
        <w:pStyle w:val="ListParagraph"/>
        <w:numPr>
          <w:ilvl w:val="0"/>
          <w:numId w:val="2"/>
        </w:numPr>
        <w:spacing w:after="80" w:line="258"/>
      </w:pPr>
      <w:r>
        <w:rPr>
          <w:rFonts w:ascii="Calibri" w:cs="Calibri" w:eastAsia="Calibri" w:hAnsi="Calibri"/>
          <w:sz w:val="19"/>
          <w:szCs w:val="19"/>
        </w:rPr>
        <w:t xml:space="preserve">Preventive (Threat) Barriers – controls positioned between each threat and the Top Event, intended to prevent the Top Event from occurring;</w:t>
      </w:r>
    </w:p>
    <w:p>
      <w:pPr>
        <w:pStyle w:val="ListParagraph"/>
        <w:numPr>
          <w:ilvl w:val="0"/>
          <w:numId w:val="2"/>
        </w:numPr>
        <w:spacing w:after="80" w:line="258"/>
      </w:pPr>
      <w:r>
        <w:rPr>
          <w:rFonts w:ascii="Calibri" w:cs="Calibri" w:eastAsia="Calibri" w:hAnsi="Calibri"/>
          <w:sz w:val="19"/>
          <w:szCs w:val="19"/>
        </w:rPr>
        <w:t xml:space="preserve">Top Event – the loss of control point (e.g., loss of containment, uncontrolled discharge, ignition);</w:t>
      </w:r>
    </w:p>
    <w:p>
      <w:pPr>
        <w:pStyle w:val="ListParagraph"/>
        <w:numPr>
          <w:ilvl w:val="0"/>
          <w:numId w:val="2"/>
        </w:numPr>
        <w:spacing w:after="80" w:line="258"/>
      </w:pPr>
      <w:r>
        <w:rPr>
          <w:rFonts w:ascii="Calibri" w:cs="Calibri" w:eastAsia="Calibri" w:hAnsi="Calibri"/>
          <w:sz w:val="19"/>
          <w:szCs w:val="19"/>
        </w:rPr>
        <w:t xml:space="preserve">Mitigative (Recovery) Barriers – controls positioned between the Top Event and its consequences, intended to reduce the severity of outcomes;</w:t>
      </w:r>
    </w:p>
    <w:p>
      <w:pPr>
        <w:pStyle w:val="ListParagraph"/>
        <w:numPr>
          <w:ilvl w:val="0"/>
          <w:numId w:val="2"/>
        </w:numPr>
        <w:spacing w:after="80" w:line="258"/>
      </w:pPr>
      <w:r>
        <w:rPr>
          <w:rFonts w:ascii="Calibri" w:cs="Calibri" w:eastAsia="Calibri" w:hAnsi="Calibri"/>
          <w:sz w:val="19"/>
          <w:szCs w:val="19"/>
        </w:rPr>
        <w:t xml:space="preserve">Consequences – the potential outcomes for People, Environment, Reputation and Assets (P/E/R/A);</w:t>
      </w:r>
    </w:p>
    <w:p>
      <w:pPr>
        <w:pStyle w:val="ListParagraph"/>
        <w:numPr>
          <w:ilvl w:val="0"/>
          <w:numId w:val="2"/>
        </w:numPr>
        <w:spacing w:after="80" w:line="258"/>
      </w:pPr>
      <w:r>
        <w:rPr>
          <w:rFonts w:ascii="Calibri" w:cs="Calibri" w:eastAsia="Calibri" w:hAnsi="Calibri"/>
          <w:sz w:val="19"/>
          <w:szCs w:val="19"/>
        </w:rPr>
        <w:t xml:space="preserve">Escalation Factors &amp; Escalation Factor Controls – conditions that could defeat a barrier, and the controls that protect the barrier’s effectiveness.</w:t>
      </w:r>
    </w:p>
    <w:p>
      <w:pPr>
        <w:spacing w:after="160" w:line="276"/>
      </w:pPr>
      <w:r>
        <w:rPr>
          <w:rFonts w:ascii="Calibri" w:cs="Calibri" w:eastAsia="Calibri" w:hAnsi="Calibri"/>
          <w:sz w:val="21"/>
          <w:szCs w:val="21"/>
        </w:rPr>
        <w:t xml:space="preserve">Each Top Event is assigned an Initial Risk rating (before mitigation) and a Residual Risk rating (with all listed barriers applied), using the Consequence (1–5) × Likelihood (1–5) methodology and Risk Category bands (I–IV) already established in the Project Risk Register and JSAs.</w:t>
      </w:r>
    </w:p>
    <w:p>
      <w:pPr>
        <w:pStyle w:val="Heading1"/>
        <w:pBdr>
          <w:bottom w:val="single" w:color="0F6B72" w:sz="8" w:space="4"/>
        </w:pBdr>
        <w:spacing w:after="160" w:before="360"/>
      </w:pPr>
      <w:r>
        <w:rPr>
          <w:rFonts w:ascii="Calibri" w:cs="Calibri" w:eastAsia="Calibri" w:hAnsi="Calibri"/>
          <w:b/>
          <w:bCs/>
          <w:color w:val="1F3864"/>
          <w:sz w:val="27"/>
          <w:szCs w:val="27"/>
        </w:rPr>
        <w:t xml:space="preserve">4.0  Risk Assessment Matrix &amp; Barrier Adequacy Criteria</w:t>
      </w:r>
    </w:p>
    <w:p>
      <w:pPr>
        <w:spacing w:after="160" w:line="276"/>
      </w:pPr>
      <w:r>
        <w:rPr>
          <w:rFonts w:ascii="Calibri" w:cs="Calibri" w:eastAsia="Calibri" w:hAnsi="Calibri"/>
          <w:sz w:val="21"/>
          <w:szCs w:val="21"/>
        </w:rPr>
        <w:t xml:space="preserve">HSE Risk Types – Consequence Rating (C/R) scale used across People (P), Environment (E), Reputation (R) and Assets (A):</w:t>
      </w:r>
    </w:p>
    <w:tbl>
      <w:tblPr>
        <w:tblW w:type="dxa" w:w="10100"/>
        <w:tblBorders>
          <w:top w:val="single" w:color="auto" w:sz="4"/>
          <w:left w:val="single" w:color="auto" w:sz="4"/>
          <w:bottom w:val="single" w:color="auto" w:sz="4"/>
          <w:right w:val="single" w:color="auto" w:sz="4"/>
          <w:insideH w:val="single" w:color="auto" w:sz="4"/>
          <w:insideV w:val="single" w:color="auto" w:sz="4"/>
        </w:tblBorders>
      </w:tblPr>
      <w:tblGrid>
        <w:gridCol w:w="900"/>
        <w:gridCol w:w="2300"/>
        <w:gridCol w:w="2300"/>
        <w:gridCol w:w="2300"/>
        <w:gridCol w:w="2300"/>
      </w:tblGrid>
      <w:tr>
        <w:trPr>
          <w:tblHeader/>
        </w:trPr>
        <w:tc>
          <w:tcPr>
            <w:tcW w:type="dxa" w:w="9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C/R</w:t>
            </w:r>
          </w:p>
        </w:tc>
        <w:tc>
          <w:tcPr>
            <w:tcW w:type="dxa" w:w="23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People (P)</w:t>
            </w:r>
          </w:p>
        </w:tc>
        <w:tc>
          <w:tcPr>
            <w:tcW w:type="dxa" w:w="23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Environment (E)</w:t>
            </w:r>
          </w:p>
        </w:tc>
        <w:tc>
          <w:tcPr>
            <w:tcW w:type="dxa" w:w="23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Reputation (R)</w:t>
            </w:r>
          </w:p>
        </w:tc>
        <w:tc>
          <w:tcPr>
            <w:tcW w:type="dxa" w:w="23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Assets (A)</w:t>
            </w:r>
          </w:p>
        </w:tc>
      </w:tr>
      <w:tr>
        <w:tc>
          <w:tcPr>
            <w:tcW w:type="dxa" w:w="900"/>
            <w:tcMar>
              <w:top w:type="dxa" w:w="90"/>
              <w:left w:type="dxa" w:w="110"/>
              <w:bottom w:type="dxa" w:w="90"/>
              <w:right w:type="dxa" w:w="110"/>
            </w:tcMar>
            <w:vAlign w:val="center"/>
          </w:tcPr>
          <w:p>
            <w:r>
              <w:rPr>
                <w:rFonts w:ascii="Calibri" w:cs="Calibri" w:eastAsia="Calibri" w:hAnsi="Calibri"/>
                <w:b w:val="false"/>
                <w:bCs w:val="false"/>
                <w:sz w:val="18"/>
                <w:szCs w:val="18"/>
              </w:rPr>
              <w:t xml:space="preserve">0</w:t>
            </w:r>
          </w:p>
        </w:tc>
        <w:tc>
          <w:tcPr>
            <w:tcW w:type="dxa" w:w="2300"/>
            <w:tcMar>
              <w:top w:type="dxa" w:w="90"/>
              <w:left w:type="dxa" w:w="110"/>
              <w:bottom w:type="dxa" w:w="90"/>
              <w:right w:type="dxa" w:w="110"/>
            </w:tcMar>
            <w:vAlign w:val="center"/>
          </w:tcPr>
          <w:p>
            <w:r>
              <w:rPr>
                <w:rFonts w:ascii="Calibri" w:cs="Calibri" w:eastAsia="Calibri" w:hAnsi="Calibri"/>
                <w:b w:val="false"/>
                <w:bCs w:val="false"/>
                <w:sz w:val="18"/>
                <w:szCs w:val="18"/>
              </w:rPr>
              <w:t xml:space="preserve">No Injury</w:t>
            </w:r>
          </w:p>
        </w:tc>
        <w:tc>
          <w:tcPr>
            <w:tcW w:type="dxa" w:w="2300"/>
            <w:tcMar>
              <w:top w:type="dxa" w:w="90"/>
              <w:left w:type="dxa" w:w="110"/>
              <w:bottom w:type="dxa" w:w="90"/>
              <w:right w:type="dxa" w:w="110"/>
            </w:tcMar>
            <w:vAlign w:val="center"/>
          </w:tcPr>
          <w:p>
            <w:r>
              <w:rPr>
                <w:rFonts w:ascii="Calibri" w:cs="Calibri" w:eastAsia="Calibri" w:hAnsi="Calibri"/>
                <w:b w:val="false"/>
                <w:bCs w:val="false"/>
                <w:sz w:val="18"/>
                <w:szCs w:val="18"/>
              </w:rPr>
              <w:t xml:space="preserve">No Effect</w:t>
            </w:r>
          </w:p>
        </w:tc>
        <w:tc>
          <w:tcPr>
            <w:tcW w:type="dxa" w:w="2300"/>
            <w:tcMar>
              <w:top w:type="dxa" w:w="90"/>
              <w:left w:type="dxa" w:w="110"/>
              <w:bottom w:type="dxa" w:w="90"/>
              <w:right w:type="dxa" w:w="110"/>
            </w:tcMar>
            <w:vAlign w:val="center"/>
          </w:tcPr>
          <w:p>
            <w:r>
              <w:rPr>
                <w:rFonts w:ascii="Calibri" w:cs="Calibri" w:eastAsia="Calibri" w:hAnsi="Calibri"/>
                <w:b w:val="false"/>
                <w:bCs w:val="false"/>
                <w:sz w:val="18"/>
                <w:szCs w:val="18"/>
              </w:rPr>
              <w:t xml:space="preserve">No Impact</w:t>
            </w:r>
          </w:p>
        </w:tc>
        <w:tc>
          <w:tcPr>
            <w:tcW w:type="dxa" w:w="2300"/>
            <w:tcMar>
              <w:top w:type="dxa" w:w="90"/>
              <w:left w:type="dxa" w:w="110"/>
              <w:bottom w:type="dxa" w:w="90"/>
              <w:right w:type="dxa" w:w="110"/>
            </w:tcMar>
            <w:vAlign w:val="center"/>
          </w:tcPr>
          <w:p>
            <w:r>
              <w:rPr>
                <w:rFonts w:ascii="Calibri" w:cs="Calibri" w:eastAsia="Calibri" w:hAnsi="Calibri"/>
                <w:b w:val="false"/>
                <w:bCs w:val="false"/>
                <w:sz w:val="18"/>
                <w:szCs w:val="18"/>
              </w:rPr>
              <w:t xml:space="preserve">No Damage</w:t>
            </w:r>
          </w:p>
        </w:tc>
      </w:tr>
      <w:tr>
        <w:tc>
          <w:tcPr>
            <w:tcW w:type="dxa" w:w="9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1</w:t>
            </w:r>
          </w:p>
        </w:tc>
        <w:tc>
          <w:tcPr>
            <w:tcW w:type="dxa" w:w="2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Slight Injury</w:t>
            </w:r>
          </w:p>
        </w:tc>
        <w:tc>
          <w:tcPr>
            <w:tcW w:type="dxa" w:w="2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Slight Effect</w:t>
            </w:r>
          </w:p>
        </w:tc>
        <w:tc>
          <w:tcPr>
            <w:tcW w:type="dxa" w:w="2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Slight Impact</w:t>
            </w:r>
          </w:p>
        </w:tc>
        <w:tc>
          <w:tcPr>
            <w:tcW w:type="dxa" w:w="2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Slight Damage</w:t>
            </w:r>
          </w:p>
        </w:tc>
      </w:tr>
      <w:tr>
        <w:tc>
          <w:tcPr>
            <w:tcW w:type="dxa" w:w="900"/>
            <w:tcMar>
              <w:top w:type="dxa" w:w="90"/>
              <w:left w:type="dxa" w:w="110"/>
              <w:bottom w:type="dxa" w:w="90"/>
              <w:right w:type="dxa" w:w="110"/>
            </w:tcMar>
            <w:vAlign w:val="center"/>
          </w:tcPr>
          <w:p>
            <w:r>
              <w:rPr>
                <w:rFonts w:ascii="Calibri" w:cs="Calibri" w:eastAsia="Calibri" w:hAnsi="Calibri"/>
                <w:b w:val="false"/>
                <w:bCs w:val="false"/>
                <w:sz w:val="18"/>
                <w:szCs w:val="18"/>
              </w:rPr>
              <w:t xml:space="preserve">2</w:t>
            </w:r>
          </w:p>
        </w:tc>
        <w:tc>
          <w:tcPr>
            <w:tcW w:type="dxa" w:w="2300"/>
            <w:tcMar>
              <w:top w:type="dxa" w:w="90"/>
              <w:left w:type="dxa" w:w="110"/>
              <w:bottom w:type="dxa" w:w="90"/>
              <w:right w:type="dxa" w:w="110"/>
            </w:tcMar>
            <w:vAlign w:val="center"/>
          </w:tcPr>
          <w:p>
            <w:r>
              <w:rPr>
                <w:rFonts w:ascii="Calibri" w:cs="Calibri" w:eastAsia="Calibri" w:hAnsi="Calibri"/>
                <w:b w:val="false"/>
                <w:bCs w:val="false"/>
                <w:sz w:val="18"/>
                <w:szCs w:val="18"/>
              </w:rPr>
              <w:t xml:space="preserve">Minor Injury</w:t>
            </w:r>
          </w:p>
        </w:tc>
        <w:tc>
          <w:tcPr>
            <w:tcW w:type="dxa" w:w="2300"/>
            <w:tcMar>
              <w:top w:type="dxa" w:w="90"/>
              <w:left w:type="dxa" w:w="110"/>
              <w:bottom w:type="dxa" w:w="90"/>
              <w:right w:type="dxa" w:w="110"/>
            </w:tcMar>
            <w:vAlign w:val="center"/>
          </w:tcPr>
          <w:p>
            <w:r>
              <w:rPr>
                <w:rFonts w:ascii="Calibri" w:cs="Calibri" w:eastAsia="Calibri" w:hAnsi="Calibri"/>
                <w:b w:val="false"/>
                <w:bCs w:val="false"/>
                <w:sz w:val="18"/>
                <w:szCs w:val="18"/>
              </w:rPr>
              <w:t xml:space="preserve">Minor Effect</w:t>
            </w:r>
          </w:p>
        </w:tc>
        <w:tc>
          <w:tcPr>
            <w:tcW w:type="dxa" w:w="2300"/>
            <w:tcMar>
              <w:top w:type="dxa" w:w="90"/>
              <w:left w:type="dxa" w:w="110"/>
              <w:bottom w:type="dxa" w:w="90"/>
              <w:right w:type="dxa" w:w="110"/>
            </w:tcMar>
            <w:vAlign w:val="center"/>
          </w:tcPr>
          <w:p>
            <w:r>
              <w:rPr>
                <w:rFonts w:ascii="Calibri" w:cs="Calibri" w:eastAsia="Calibri" w:hAnsi="Calibri"/>
                <w:b w:val="false"/>
                <w:bCs w:val="false"/>
                <w:sz w:val="18"/>
                <w:szCs w:val="18"/>
              </w:rPr>
              <w:t xml:space="preserve">Limited Impact</w:t>
            </w:r>
          </w:p>
        </w:tc>
        <w:tc>
          <w:tcPr>
            <w:tcW w:type="dxa" w:w="2300"/>
            <w:tcMar>
              <w:top w:type="dxa" w:w="90"/>
              <w:left w:type="dxa" w:w="110"/>
              <w:bottom w:type="dxa" w:w="90"/>
              <w:right w:type="dxa" w:w="110"/>
            </w:tcMar>
            <w:vAlign w:val="center"/>
          </w:tcPr>
          <w:p>
            <w:r>
              <w:rPr>
                <w:rFonts w:ascii="Calibri" w:cs="Calibri" w:eastAsia="Calibri" w:hAnsi="Calibri"/>
                <w:b w:val="false"/>
                <w:bCs w:val="false"/>
                <w:sz w:val="18"/>
                <w:szCs w:val="18"/>
              </w:rPr>
              <w:t xml:space="preserve">Minor Damage</w:t>
            </w:r>
          </w:p>
        </w:tc>
      </w:tr>
      <w:tr>
        <w:tc>
          <w:tcPr>
            <w:tcW w:type="dxa" w:w="9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3</w:t>
            </w:r>
          </w:p>
        </w:tc>
        <w:tc>
          <w:tcPr>
            <w:tcW w:type="dxa" w:w="2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Major Injury</w:t>
            </w:r>
          </w:p>
        </w:tc>
        <w:tc>
          <w:tcPr>
            <w:tcW w:type="dxa" w:w="2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Localized Effect</w:t>
            </w:r>
          </w:p>
        </w:tc>
        <w:tc>
          <w:tcPr>
            <w:tcW w:type="dxa" w:w="2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Considerable Impact</w:t>
            </w:r>
          </w:p>
        </w:tc>
        <w:tc>
          <w:tcPr>
            <w:tcW w:type="dxa" w:w="2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Localized Damage</w:t>
            </w:r>
          </w:p>
        </w:tc>
      </w:tr>
      <w:tr>
        <w:tc>
          <w:tcPr>
            <w:tcW w:type="dxa" w:w="900"/>
            <w:tcMar>
              <w:top w:type="dxa" w:w="90"/>
              <w:left w:type="dxa" w:w="110"/>
              <w:bottom w:type="dxa" w:w="90"/>
              <w:right w:type="dxa" w:w="110"/>
            </w:tcMar>
            <w:vAlign w:val="center"/>
          </w:tcPr>
          <w:p>
            <w:r>
              <w:rPr>
                <w:rFonts w:ascii="Calibri" w:cs="Calibri" w:eastAsia="Calibri" w:hAnsi="Calibri"/>
                <w:b w:val="false"/>
                <w:bCs w:val="false"/>
                <w:sz w:val="18"/>
                <w:szCs w:val="18"/>
              </w:rPr>
              <w:t xml:space="preserve">4</w:t>
            </w:r>
          </w:p>
        </w:tc>
        <w:tc>
          <w:tcPr>
            <w:tcW w:type="dxa" w:w="2300"/>
            <w:tcMar>
              <w:top w:type="dxa" w:w="90"/>
              <w:left w:type="dxa" w:w="110"/>
              <w:bottom w:type="dxa" w:w="90"/>
              <w:right w:type="dxa" w:w="110"/>
            </w:tcMar>
            <w:vAlign w:val="center"/>
          </w:tcPr>
          <w:p>
            <w:r>
              <w:rPr>
                <w:rFonts w:ascii="Calibri" w:cs="Calibri" w:eastAsia="Calibri" w:hAnsi="Calibri"/>
                <w:b w:val="false"/>
                <w:bCs w:val="false"/>
                <w:sz w:val="18"/>
                <w:szCs w:val="18"/>
              </w:rPr>
              <w:t xml:space="preserve">Single Fatality</w:t>
            </w:r>
          </w:p>
        </w:tc>
        <w:tc>
          <w:tcPr>
            <w:tcW w:type="dxa" w:w="2300"/>
            <w:tcMar>
              <w:top w:type="dxa" w:w="90"/>
              <w:left w:type="dxa" w:w="110"/>
              <w:bottom w:type="dxa" w:w="90"/>
              <w:right w:type="dxa" w:w="110"/>
            </w:tcMar>
            <w:vAlign w:val="center"/>
          </w:tcPr>
          <w:p>
            <w:r>
              <w:rPr>
                <w:rFonts w:ascii="Calibri" w:cs="Calibri" w:eastAsia="Calibri" w:hAnsi="Calibri"/>
                <w:b w:val="false"/>
                <w:bCs w:val="false"/>
                <w:sz w:val="18"/>
                <w:szCs w:val="18"/>
              </w:rPr>
              <w:t xml:space="preserve">Major Effect</w:t>
            </w:r>
          </w:p>
        </w:tc>
        <w:tc>
          <w:tcPr>
            <w:tcW w:type="dxa" w:w="2300"/>
            <w:tcMar>
              <w:top w:type="dxa" w:w="90"/>
              <w:left w:type="dxa" w:w="110"/>
              <w:bottom w:type="dxa" w:w="90"/>
              <w:right w:type="dxa" w:w="110"/>
            </w:tcMar>
            <w:vAlign w:val="center"/>
          </w:tcPr>
          <w:p>
            <w:r>
              <w:rPr>
                <w:rFonts w:ascii="Calibri" w:cs="Calibri" w:eastAsia="Calibri" w:hAnsi="Calibri"/>
                <w:b w:val="false"/>
                <w:bCs w:val="false"/>
                <w:sz w:val="18"/>
                <w:szCs w:val="18"/>
              </w:rPr>
              <w:t xml:space="preserve">National Impact</w:t>
            </w:r>
          </w:p>
        </w:tc>
        <w:tc>
          <w:tcPr>
            <w:tcW w:type="dxa" w:w="2300"/>
            <w:tcMar>
              <w:top w:type="dxa" w:w="90"/>
              <w:left w:type="dxa" w:w="110"/>
              <w:bottom w:type="dxa" w:w="90"/>
              <w:right w:type="dxa" w:w="110"/>
            </w:tcMar>
            <w:vAlign w:val="center"/>
          </w:tcPr>
          <w:p>
            <w:r>
              <w:rPr>
                <w:rFonts w:ascii="Calibri" w:cs="Calibri" w:eastAsia="Calibri" w:hAnsi="Calibri"/>
                <w:b w:val="false"/>
                <w:bCs w:val="false"/>
                <w:sz w:val="18"/>
                <w:szCs w:val="18"/>
              </w:rPr>
              <w:t xml:space="preserve">Major Damage</w:t>
            </w:r>
          </w:p>
        </w:tc>
      </w:tr>
      <w:tr>
        <w:tc>
          <w:tcPr>
            <w:tcW w:type="dxa" w:w="9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5</w:t>
            </w:r>
          </w:p>
        </w:tc>
        <w:tc>
          <w:tcPr>
            <w:tcW w:type="dxa" w:w="2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Multiple Fatality</w:t>
            </w:r>
          </w:p>
        </w:tc>
        <w:tc>
          <w:tcPr>
            <w:tcW w:type="dxa" w:w="2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Massive Effect</w:t>
            </w:r>
          </w:p>
        </w:tc>
        <w:tc>
          <w:tcPr>
            <w:tcW w:type="dxa" w:w="2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International Impact</w:t>
            </w:r>
          </w:p>
        </w:tc>
        <w:tc>
          <w:tcPr>
            <w:tcW w:type="dxa" w:w="2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Extensive Damage</w:t>
            </w:r>
          </w:p>
        </w:tc>
      </w:tr>
    </w:tbl>
    <w:p>
      <w:pPr>
        <w:spacing w:after="160" w:line="276"/>
      </w:pPr>
      <w:r>
        <w:rPr>
          <w:rFonts w:ascii="Calibri" w:cs="Calibri" w:eastAsia="Calibri" w:hAnsi="Calibri"/>
          <w:sz w:val="21"/>
          <w:szCs w:val="21"/>
        </w:rPr>
        <w:t xml:space="preserve"> </w:t>
      </w:r>
    </w:p>
    <w:p>
      <w:pPr>
        <w:spacing w:after="160" w:line="276"/>
      </w:pPr>
      <w:r>
        <w:rPr>
          <w:rFonts w:ascii="Calibri" w:cs="Calibri" w:eastAsia="Calibri" w:hAnsi="Calibri"/>
          <w:sz w:val="21"/>
          <w:szCs w:val="21"/>
        </w:rPr>
        <w:t xml:space="preserve">Risk Category bands: I (1–4, Low – no further mitigation required); II (5–10, Medium – Controls Verified/ALARP); III (12–16, Significant – mitigate with priority); IV (17–25, High – mitigate with highest priority).</w:t>
      </w:r>
    </w:p>
    <w:p>
      <w:pPr>
        <w:spacing w:after="160" w:line="276"/>
      </w:pPr>
      <w:r>
        <w:rPr>
          <w:rFonts w:ascii="Calibri" w:cs="Calibri" w:eastAsia="Calibri" w:hAnsi="Calibri"/>
          <w:sz w:val="21"/>
          <w:szCs w:val="21"/>
        </w:rPr>
        <w:t xml:space="preserve">Barrier adequacy criteria (per Project HSE Plan Fig. 5 – HSE Barriers &amp; Recovery):</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600"/>
        <w:gridCol w:w="3300"/>
        <w:gridCol w:w="3300"/>
      </w:tblGrid>
      <w:tr>
        <w:trPr>
          <w:tblHeader/>
        </w:trPr>
        <w:tc>
          <w:tcPr>
            <w:tcW w:type="dxa" w:w="26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Control</w:t>
            </w:r>
          </w:p>
        </w:tc>
        <w:tc>
          <w:tcPr>
            <w:tcW w:type="dxa" w:w="33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Intolerable Risk</w:t>
            </w:r>
          </w:p>
        </w:tc>
        <w:tc>
          <w:tcPr>
            <w:tcW w:type="dxa" w:w="33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Tolerable Risk</w:t>
            </w:r>
          </w:p>
        </w:tc>
      </w:tr>
      <w:tr>
        <w:tc>
          <w:tcPr>
            <w:tcW w:type="dxa" w:w="2600"/>
            <w:tcMar>
              <w:top w:type="dxa" w:w="90"/>
              <w:left w:type="dxa" w:w="110"/>
              <w:bottom w:type="dxa" w:w="90"/>
              <w:right w:type="dxa" w:w="110"/>
            </w:tcMar>
            <w:vAlign w:val="center"/>
          </w:tcPr>
          <w:p>
            <w:r>
              <w:rPr>
                <w:rFonts w:ascii="Calibri" w:cs="Calibri" w:eastAsia="Calibri" w:hAnsi="Calibri"/>
                <w:b w:val="false"/>
                <w:bCs w:val="false"/>
                <w:sz w:val="18"/>
                <w:szCs w:val="18"/>
              </w:rPr>
              <w:t xml:space="preserve">Threat (Preventive) Barriers</w:t>
            </w:r>
          </w:p>
        </w:tc>
        <w:tc>
          <w:tcPr>
            <w:tcW w:type="dxa" w:w="3300"/>
            <w:tcMar>
              <w:top w:type="dxa" w:w="90"/>
              <w:left w:type="dxa" w:w="110"/>
              <w:bottom w:type="dxa" w:w="90"/>
              <w:right w:type="dxa" w:w="110"/>
            </w:tcMar>
            <w:vAlign w:val="center"/>
          </w:tcPr>
          <w:p>
            <w:r>
              <w:rPr>
                <w:rFonts w:ascii="Calibri" w:cs="Calibri" w:eastAsia="Calibri" w:hAnsi="Calibri"/>
                <w:b w:val="false"/>
                <w:bCs w:val="false"/>
                <w:sz w:val="18"/>
                <w:szCs w:val="18"/>
              </w:rPr>
              <w:t xml:space="preserve">Minimum of 3 independent, effective barriers per identified threat</w:t>
            </w:r>
          </w:p>
        </w:tc>
        <w:tc>
          <w:tcPr>
            <w:tcW w:type="dxa" w:w="3300"/>
            <w:tcMar>
              <w:top w:type="dxa" w:w="90"/>
              <w:left w:type="dxa" w:w="110"/>
              <w:bottom w:type="dxa" w:w="90"/>
              <w:right w:type="dxa" w:w="110"/>
            </w:tcMar>
            <w:vAlign w:val="center"/>
          </w:tcPr>
          <w:p>
            <w:r>
              <w:rPr>
                <w:rFonts w:ascii="Calibri" w:cs="Calibri" w:eastAsia="Calibri" w:hAnsi="Calibri"/>
                <w:b w:val="false"/>
                <w:bCs w:val="false"/>
                <w:sz w:val="18"/>
                <w:szCs w:val="18"/>
              </w:rPr>
              <w:t xml:space="preserve">Minimum of 2 independent, effective barriers per identified threat</w:t>
            </w:r>
          </w:p>
        </w:tc>
      </w:tr>
      <w:tr>
        <w:tc>
          <w:tcPr>
            <w:tcW w:type="dxa" w:w="26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Recovery (Mitigative) Barriers</w:t>
            </w:r>
          </w:p>
        </w:tc>
        <w:tc>
          <w:tcPr>
            <w:tcW w:type="dxa" w:w="3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Minimum of 3 independent measures per consequence (incl. one automatic-detection and one escalation-prevention measure)</w:t>
            </w:r>
          </w:p>
        </w:tc>
        <w:tc>
          <w:tcPr>
            <w:tcW w:type="dxa" w:w="3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Minimum of 2 independent measures per consequence (one to detect the Top Event, one to prevent further escalation)</w:t>
            </w:r>
          </w:p>
        </w:tc>
      </w:tr>
      <w:tr>
        <w:tc>
          <w:tcPr>
            <w:tcW w:type="dxa" w:w="2600"/>
            <w:tcMar>
              <w:top w:type="dxa" w:w="90"/>
              <w:left w:type="dxa" w:w="110"/>
              <w:bottom w:type="dxa" w:w="90"/>
              <w:right w:type="dxa" w:w="110"/>
            </w:tcMar>
            <w:vAlign w:val="center"/>
          </w:tcPr>
          <w:p>
            <w:r>
              <w:rPr>
                <w:rFonts w:ascii="Calibri" w:cs="Calibri" w:eastAsia="Calibri" w:hAnsi="Calibri"/>
                <w:b w:val="false"/>
                <w:bCs w:val="false"/>
                <w:sz w:val="18"/>
                <w:szCs w:val="18"/>
              </w:rPr>
              <w:t xml:space="preserve">Escalation Factor Controls</w:t>
            </w:r>
          </w:p>
        </w:tc>
        <w:tc>
          <w:tcPr>
            <w:tcW w:type="dxa" w:w="3300"/>
            <w:tcMar>
              <w:top w:type="dxa" w:w="90"/>
              <w:left w:type="dxa" w:w="110"/>
              <w:bottom w:type="dxa" w:w="90"/>
              <w:right w:type="dxa" w:w="110"/>
            </w:tcMar>
            <w:vAlign w:val="center"/>
          </w:tcPr>
          <w:p>
            <w:r>
              <w:rPr>
                <w:rFonts w:ascii="Calibri" w:cs="Calibri" w:eastAsia="Calibri" w:hAnsi="Calibri"/>
                <w:b w:val="false"/>
                <w:bCs w:val="false"/>
                <w:sz w:val="18"/>
                <w:szCs w:val="18"/>
              </w:rPr>
              <w:t xml:space="preserve">Minimum of 1 independent, effective control per identified escalation factor</w:t>
            </w:r>
          </w:p>
        </w:tc>
        <w:tc>
          <w:tcPr>
            <w:tcW w:type="dxa" w:w="3300"/>
            <w:tcMar>
              <w:top w:type="dxa" w:w="90"/>
              <w:left w:type="dxa" w:w="110"/>
              <w:bottom w:type="dxa" w:w="90"/>
              <w:right w:type="dxa" w:w="110"/>
            </w:tcMar>
            <w:vAlign w:val="center"/>
          </w:tcPr>
          <w:p>
            <w:r>
              <w:rPr>
                <w:rFonts w:ascii="Calibri" w:cs="Calibri" w:eastAsia="Calibri" w:hAnsi="Calibri"/>
                <w:b w:val="false"/>
                <w:bCs w:val="false"/>
                <w:sz w:val="18"/>
                <w:szCs w:val="18"/>
              </w:rPr>
              <w:t xml:space="preserve">Minimum of 1 independent, effective control per identified escalation factor</w:t>
            </w:r>
          </w:p>
        </w:tc>
      </w:tr>
    </w:tbl>
    <w:p>
      <w:pPr>
        <w:pStyle w:val="Heading1"/>
        <w:pBdr>
          <w:bottom w:val="single" w:color="0F6B72" w:sz="8" w:space="4"/>
        </w:pBdr>
        <w:spacing w:after="160" w:before="360"/>
      </w:pPr>
      <w:r>
        <w:rPr>
          <w:rFonts w:ascii="Calibri" w:cs="Calibri" w:eastAsia="Calibri" w:hAnsi="Calibri"/>
          <w:b/>
          <w:bCs/>
          <w:color w:val="1F3864"/>
          <w:sz w:val="27"/>
          <w:szCs w:val="27"/>
        </w:rPr>
        <w:t xml:space="preserve">5.0  Environmental Top Events – Summary Register</w:t>
      </w:r>
    </w:p>
    <w:p>
      <w:pPr>
        <w:spacing w:after="160" w:line="276"/>
      </w:pPr>
      <w:r>
        <w:rPr>
          <w:rFonts w:ascii="Calibri" w:cs="Calibri" w:eastAsia="Calibri" w:hAnsi="Calibri"/>
          <w:sz w:val="21"/>
          <w:szCs w:val="21"/>
        </w:rPr>
        <w:t xml:space="preserve">The ten environmental Top Events analysed in Section 6.0 are summarised below:</w:t>
      </w:r>
    </w:p>
    <w:tbl>
      <w:tblPr>
        <w:tblW w:type="dxa" w:w="9450"/>
        <w:tblBorders>
          <w:top w:val="single" w:color="auto" w:sz="4"/>
          <w:left w:val="single" w:color="auto" w:sz="4"/>
          <w:bottom w:val="single" w:color="auto" w:sz="4"/>
          <w:right w:val="single" w:color="auto" w:sz="4"/>
          <w:insideH w:val="single" w:color="auto" w:sz="4"/>
          <w:insideV w:val="single" w:color="auto" w:sz="4"/>
        </w:tblBorders>
      </w:tblPr>
      <w:tblGrid>
        <w:gridCol w:w="750"/>
        <w:gridCol w:w="5300"/>
        <w:gridCol w:w="1700"/>
        <w:gridCol w:w="1700"/>
      </w:tblGrid>
      <w:tr>
        <w:trPr>
          <w:tblHeader/>
        </w:trPr>
        <w:tc>
          <w:tcPr>
            <w:tcW w:type="dxa" w:w="75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No.</w:t>
            </w:r>
          </w:p>
        </w:tc>
        <w:tc>
          <w:tcPr>
            <w:tcW w:type="dxa" w:w="53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Top Event</w:t>
            </w:r>
          </w:p>
        </w:tc>
        <w:tc>
          <w:tcPr>
            <w:tcW w:type="dxa" w:w="17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Initial Risk</w:t>
            </w:r>
          </w:p>
        </w:tc>
        <w:tc>
          <w:tcPr>
            <w:tcW w:type="dxa" w:w="1700"/>
            <w:shd w:fill="1F3864" w:val="clear"/>
            <w:tcMar>
              <w:top w:type="dxa" w:w="100"/>
              <w:left w:type="dxa" w:w="110"/>
              <w:bottom w:type="dxa" w:w="100"/>
              <w:right w:type="dxa" w:w="110"/>
            </w:tcMar>
            <w:vAlign w:val="center"/>
          </w:tcPr>
          <w:p>
            <w:r>
              <w:rPr>
                <w:rFonts w:ascii="Calibri" w:cs="Calibri" w:eastAsia="Calibri" w:hAnsi="Calibri"/>
                <w:b/>
                <w:bCs/>
                <w:color w:val="FFFFFF"/>
                <w:sz w:val="18"/>
                <w:szCs w:val="18"/>
              </w:rPr>
              <w:t xml:space="preserve">Residual Risk</w:t>
            </w:r>
          </w:p>
        </w:tc>
      </w:tr>
      <w:tr>
        <w:tc>
          <w:tcPr>
            <w:tcW w:type="dxa" w:w="750"/>
            <w:tcMar>
              <w:top w:type="dxa" w:w="90"/>
              <w:left w:type="dxa" w:w="110"/>
              <w:bottom w:type="dxa" w:w="90"/>
              <w:right w:type="dxa" w:w="110"/>
            </w:tcMar>
            <w:vAlign w:val="center"/>
          </w:tcPr>
          <w:p>
            <w:r>
              <w:rPr>
                <w:rFonts w:ascii="Calibri" w:cs="Calibri" w:eastAsia="Calibri" w:hAnsi="Calibri"/>
                <w:b w:val="false"/>
                <w:bCs w:val="false"/>
                <w:sz w:val="18"/>
                <w:szCs w:val="18"/>
              </w:rPr>
              <w:t xml:space="preserve">TE-1</w:t>
            </w:r>
          </w:p>
        </w:tc>
        <w:tc>
          <w:tcPr>
            <w:tcW w:type="dxa" w:w="5300"/>
            <w:tcMar>
              <w:top w:type="dxa" w:w="90"/>
              <w:left w:type="dxa" w:w="110"/>
              <w:bottom w:type="dxa" w:w="90"/>
              <w:right w:type="dxa" w:w="110"/>
            </w:tcMar>
            <w:vAlign w:val="center"/>
          </w:tcPr>
          <w:p>
            <w:r>
              <w:rPr>
                <w:rFonts w:ascii="Calibri" w:cs="Calibri" w:eastAsia="Calibri" w:hAnsi="Calibri"/>
                <w:b w:val="false"/>
                <w:bCs w:val="false"/>
                <w:sz w:val="18"/>
                <w:szCs w:val="18"/>
              </w:rPr>
              <w:t xml:space="preserve">Loss of Containment – Crude Oil / Gas Oil Diluent during ATC/NME Tank Cleaning</w:t>
            </w:r>
          </w:p>
        </w:tc>
        <w:tc>
          <w:tcPr>
            <w:tcW w:type="dxa" w:w="1700"/>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IV (High)</w:t>
            </w:r>
          </w:p>
        </w:tc>
        <w:tc>
          <w:tcPr>
            <w:tcW w:type="dxa" w:w="1700"/>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 (Medium, ALARP)</w:t>
            </w:r>
          </w:p>
        </w:tc>
      </w:tr>
      <w:tr>
        <w:tc>
          <w:tcPr>
            <w:tcW w:type="dxa" w:w="75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TE-2</w:t>
            </w:r>
          </w:p>
        </w:tc>
        <w:tc>
          <w:tcPr>
            <w:tcW w:type="dxa" w:w="5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Recovered Oil Tank Overfill / Loss of Containment</w:t>
            </w:r>
          </w:p>
        </w:tc>
        <w:tc>
          <w:tcPr>
            <w:tcW w:type="dxa" w:w="17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 (Medium)</w:t>
            </w:r>
          </w:p>
        </w:tc>
        <w:tc>
          <w:tcPr>
            <w:tcW w:type="dxa" w:w="17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 (Low, ALARP)</w:t>
            </w:r>
          </w:p>
        </w:tc>
      </w:tr>
      <w:tr>
        <w:tc>
          <w:tcPr>
            <w:tcW w:type="dxa" w:w="750"/>
            <w:tcMar>
              <w:top w:type="dxa" w:w="90"/>
              <w:left w:type="dxa" w:w="110"/>
              <w:bottom w:type="dxa" w:w="90"/>
              <w:right w:type="dxa" w:w="110"/>
            </w:tcMar>
            <w:vAlign w:val="center"/>
          </w:tcPr>
          <w:p>
            <w:r>
              <w:rPr>
                <w:rFonts w:ascii="Calibri" w:cs="Calibri" w:eastAsia="Calibri" w:hAnsi="Calibri"/>
                <w:b w:val="false"/>
                <w:bCs w:val="false"/>
                <w:sz w:val="18"/>
                <w:szCs w:val="18"/>
              </w:rPr>
              <w:t xml:space="preserve">TE-3</w:t>
            </w:r>
          </w:p>
        </w:tc>
        <w:tc>
          <w:tcPr>
            <w:tcW w:type="dxa" w:w="5300"/>
            <w:tcMar>
              <w:top w:type="dxa" w:w="90"/>
              <w:left w:type="dxa" w:w="110"/>
              <w:bottom w:type="dxa" w:w="90"/>
              <w:right w:type="dxa" w:w="110"/>
            </w:tcMar>
            <w:vAlign w:val="center"/>
          </w:tcPr>
          <w:p>
            <w:r>
              <w:rPr>
                <w:rFonts w:ascii="Calibri" w:cs="Calibri" w:eastAsia="Calibri" w:hAnsi="Calibri"/>
                <w:b w:val="false"/>
                <w:bCs w:val="false"/>
                <w:sz w:val="18"/>
                <w:szCs w:val="18"/>
              </w:rPr>
              <w:t xml:space="preserve">Spillage during IBC / Solids Container Filling, Handling &amp; Forklift Transport</w:t>
            </w:r>
          </w:p>
        </w:tc>
        <w:tc>
          <w:tcPr>
            <w:tcW w:type="dxa" w:w="1700"/>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 (Medium)</w:t>
            </w:r>
          </w:p>
        </w:tc>
        <w:tc>
          <w:tcPr>
            <w:tcW w:type="dxa" w:w="1700"/>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 (Low, ALARP)</w:t>
            </w:r>
          </w:p>
        </w:tc>
      </w:tr>
      <w:tr>
        <w:tc>
          <w:tcPr>
            <w:tcW w:type="dxa" w:w="75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TE-4</w:t>
            </w:r>
          </w:p>
        </w:tc>
        <w:tc>
          <w:tcPr>
            <w:tcW w:type="dxa" w:w="5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Diesel Spill during Refuelling of Plant &amp; Equipment</w:t>
            </w:r>
          </w:p>
        </w:tc>
        <w:tc>
          <w:tcPr>
            <w:tcW w:type="dxa" w:w="17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 (Medium)</w:t>
            </w:r>
          </w:p>
        </w:tc>
        <w:tc>
          <w:tcPr>
            <w:tcW w:type="dxa" w:w="17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 (Medium, ALARP)</w:t>
            </w:r>
          </w:p>
        </w:tc>
      </w:tr>
      <w:tr>
        <w:tc>
          <w:tcPr>
            <w:tcW w:type="dxa" w:w="750"/>
            <w:tcMar>
              <w:top w:type="dxa" w:w="90"/>
              <w:left w:type="dxa" w:w="110"/>
              <w:bottom w:type="dxa" w:w="90"/>
              <w:right w:type="dxa" w:w="110"/>
            </w:tcMar>
            <w:vAlign w:val="center"/>
          </w:tcPr>
          <w:p>
            <w:r>
              <w:rPr>
                <w:rFonts w:ascii="Calibri" w:cs="Calibri" w:eastAsia="Calibri" w:hAnsi="Calibri"/>
                <w:b w:val="false"/>
                <w:bCs w:val="false"/>
                <w:sz w:val="18"/>
                <w:szCs w:val="18"/>
              </w:rPr>
              <w:t xml:space="preserve">TE-5</w:t>
            </w:r>
          </w:p>
        </w:tc>
        <w:tc>
          <w:tcPr>
            <w:tcW w:type="dxa" w:w="5300"/>
            <w:tcMar>
              <w:top w:type="dxa" w:w="90"/>
              <w:left w:type="dxa" w:w="110"/>
              <w:bottom w:type="dxa" w:w="90"/>
              <w:right w:type="dxa" w:w="110"/>
            </w:tcMar>
            <w:vAlign w:val="center"/>
          </w:tcPr>
          <w:p>
            <w:r>
              <w:rPr>
                <w:rFonts w:ascii="Calibri" w:cs="Calibri" w:eastAsia="Calibri" w:hAnsi="Calibri"/>
                <w:b w:val="false"/>
                <w:bCs w:val="false"/>
                <w:sz w:val="18"/>
                <w:szCs w:val="18"/>
              </w:rPr>
              <w:t xml:space="preserve">Chemical / Detergent Spill during Handling &amp; Transfer</w:t>
            </w:r>
          </w:p>
        </w:tc>
        <w:tc>
          <w:tcPr>
            <w:tcW w:type="dxa" w:w="1700"/>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 (Low)</w:t>
            </w:r>
          </w:p>
        </w:tc>
        <w:tc>
          <w:tcPr>
            <w:tcW w:type="dxa" w:w="1700"/>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 (Low, ALARP)</w:t>
            </w:r>
          </w:p>
        </w:tc>
      </w:tr>
      <w:tr>
        <w:tc>
          <w:tcPr>
            <w:tcW w:type="dxa" w:w="75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TE-6</w:t>
            </w:r>
          </w:p>
        </w:tc>
        <w:tc>
          <w:tcPr>
            <w:tcW w:type="dxa" w:w="5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Loss of Containment during Line Breaking / Flange (Spool Piece) Opening</w:t>
            </w:r>
          </w:p>
        </w:tc>
        <w:tc>
          <w:tcPr>
            <w:tcW w:type="dxa" w:w="17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III (Significant)</w:t>
            </w:r>
          </w:p>
        </w:tc>
        <w:tc>
          <w:tcPr>
            <w:tcW w:type="dxa" w:w="17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 (Medium, ALARP)</w:t>
            </w:r>
          </w:p>
        </w:tc>
      </w:tr>
      <w:tr>
        <w:tc>
          <w:tcPr>
            <w:tcW w:type="dxa" w:w="750"/>
            <w:tcMar>
              <w:top w:type="dxa" w:w="90"/>
              <w:left w:type="dxa" w:w="110"/>
              <w:bottom w:type="dxa" w:w="90"/>
              <w:right w:type="dxa" w:w="110"/>
            </w:tcMar>
            <w:vAlign w:val="center"/>
          </w:tcPr>
          <w:p>
            <w:r>
              <w:rPr>
                <w:rFonts w:ascii="Calibri" w:cs="Calibri" w:eastAsia="Calibri" w:hAnsi="Calibri"/>
                <w:b w:val="false"/>
                <w:bCs w:val="false"/>
                <w:sz w:val="18"/>
                <w:szCs w:val="18"/>
              </w:rPr>
              <w:t xml:space="preserve">TE-7</w:t>
            </w:r>
          </w:p>
        </w:tc>
        <w:tc>
          <w:tcPr>
            <w:tcW w:type="dxa" w:w="5300"/>
            <w:tcMar>
              <w:top w:type="dxa" w:w="90"/>
              <w:left w:type="dxa" w:w="110"/>
              <w:bottom w:type="dxa" w:w="90"/>
              <w:right w:type="dxa" w:w="110"/>
            </w:tcMar>
            <w:vAlign w:val="center"/>
          </w:tcPr>
          <w:p>
            <w:r>
              <w:rPr>
                <w:rFonts w:ascii="Calibri" w:cs="Calibri" w:eastAsia="Calibri" w:hAnsi="Calibri"/>
                <w:b w:val="false"/>
                <w:bCs w:val="false"/>
                <w:sz w:val="18"/>
                <w:szCs w:val="18"/>
              </w:rPr>
              <w:t xml:space="preserve">Uncontrolled Discharge of Contaminated Wash / Rinse Water</w:t>
            </w:r>
          </w:p>
        </w:tc>
        <w:tc>
          <w:tcPr>
            <w:tcW w:type="dxa" w:w="1700"/>
            <w:tcMar>
              <w:top w:type="dxa" w:w="90"/>
              <w:left w:type="dxa" w:w="110"/>
              <w:bottom w:type="dxa" w:w="90"/>
              <w:right w:type="dxa" w:w="110"/>
            </w:tcMar>
            <w:vAlign w:val="center"/>
          </w:tcPr>
          <w:p>
            <w:r>
              <w:rPr>
                <w:rFonts w:ascii="Calibri" w:cs="Calibri" w:eastAsia="Calibri" w:hAnsi="Calibri"/>
                <w:b w:val="false"/>
                <w:bCs w:val="false"/>
                <w:sz w:val="18"/>
                <w:szCs w:val="18"/>
              </w:rPr>
              <w:t xml:space="preserve">assessed as Category II (Medium) pending site-specific confirmation</w:t>
            </w:r>
          </w:p>
        </w:tc>
        <w:tc>
          <w:tcPr>
            <w:tcW w:type="dxa" w:w="1700"/>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I–II (Low–Medium, subject to WWTP verification)</w:t>
            </w:r>
          </w:p>
        </w:tc>
      </w:tr>
      <w:tr>
        <w:tc>
          <w:tcPr>
            <w:tcW w:type="dxa" w:w="75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TE-8</w:t>
            </w:r>
          </w:p>
        </w:tc>
        <w:tc>
          <w:tcPr>
            <w:tcW w:type="dxa" w:w="5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Spill during Waste / Recovered-Oil Transport (Tankers &amp; Vessels)</w:t>
            </w:r>
          </w:p>
        </w:tc>
        <w:tc>
          <w:tcPr>
            <w:tcW w:type="dxa" w:w="17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 (Medium)</w:t>
            </w:r>
          </w:p>
        </w:tc>
        <w:tc>
          <w:tcPr>
            <w:tcW w:type="dxa" w:w="17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 (Controls Verified</w:t>
            </w:r>
          </w:p>
        </w:tc>
      </w:tr>
      <w:tr>
        <w:tc>
          <w:tcPr>
            <w:tcW w:type="dxa" w:w="750"/>
            <w:tcMar>
              <w:top w:type="dxa" w:w="90"/>
              <w:left w:type="dxa" w:w="110"/>
              <w:bottom w:type="dxa" w:w="90"/>
              <w:right w:type="dxa" w:w="110"/>
            </w:tcMar>
            <w:vAlign w:val="center"/>
          </w:tcPr>
          <w:p>
            <w:r>
              <w:rPr>
                <w:rFonts w:ascii="Calibri" w:cs="Calibri" w:eastAsia="Calibri" w:hAnsi="Calibri"/>
                <w:b w:val="false"/>
                <w:bCs w:val="false"/>
                <w:sz w:val="18"/>
                <w:szCs w:val="18"/>
              </w:rPr>
              <w:t xml:space="preserve">TE-9</w:t>
            </w:r>
          </w:p>
        </w:tc>
        <w:tc>
          <w:tcPr>
            <w:tcW w:type="dxa" w:w="5300"/>
            <w:tcMar>
              <w:top w:type="dxa" w:w="90"/>
              <w:left w:type="dxa" w:w="110"/>
              <w:bottom w:type="dxa" w:w="90"/>
              <w:right w:type="dxa" w:w="110"/>
            </w:tcMar>
            <w:vAlign w:val="center"/>
          </w:tcPr>
          <w:p>
            <w:r>
              <w:rPr>
                <w:rFonts w:ascii="Calibri" w:cs="Calibri" w:eastAsia="Calibri" w:hAnsi="Calibri"/>
                <w:b w:val="false"/>
                <w:bCs w:val="false"/>
                <w:sz w:val="18"/>
                <w:szCs w:val="18"/>
              </w:rPr>
              <w:t xml:space="preserve">Fire / Explosion Involving Flammable Hydrocarbon Vapours</w:t>
            </w:r>
          </w:p>
        </w:tc>
        <w:tc>
          <w:tcPr>
            <w:tcW w:type="dxa" w:w="1700"/>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III (Significant, task-dependent)</w:t>
            </w:r>
          </w:p>
        </w:tc>
        <w:tc>
          <w:tcPr>
            <w:tcW w:type="dxa" w:w="1700"/>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I–II (Low–Medium, ALARP)</w:t>
            </w:r>
          </w:p>
        </w:tc>
      </w:tr>
      <w:tr>
        <w:tc>
          <w:tcPr>
            <w:tcW w:type="dxa" w:w="75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TE-10</w:t>
            </w:r>
          </w:p>
        </w:tc>
        <w:tc>
          <w:tcPr>
            <w:tcW w:type="dxa" w:w="53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Improper Waste Handling / Disposal (Waste Management Non-Compliance)</w:t>
            </w:r>
          </w:p>
        </w:tc>
        <w:tc>
          <w:tcPr>
            <w:tcW w:type="dxa" w:w="17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 (Medium)</w:t>
            </w:r>
          </w:p>
        </w:tc>
        <w:tc>
          <w:tcPr>
            <w:tcW w:type="dxa" w:w="1700"/>
            <w:shd w:fill="F5F7F7" w:val="clear"/>
            <w:tcMar>
              <w:top w:type="dxa" w:w="90"/>
              <w:left w:type="dxa" w:w="110"/>
              <w:bottom w:type="dxa" w:w="90"/>
              <w:right w:type="dxa" w:w="110"/>
            </w:tcMar>
            <w:vAlign w:val="center"/>
          </w:tcPr>
          <w:p>
            <w:r>
              <w:rPr>
                <w:rFonts w:ascii="Calibri" w:cs="Calibri" w:eastAsia="Calibri" w:hAnsi="Calibri"/>
                <w:b w:val="false"/>
                <w:bCs w:val="false"/>
                <w:sz w:val="18"/>
                <w:szCs w:val="18"/>
              </w:rPr>
              <w:t xml:space="preserve">Category II (Controls Verified</w:t>
            </w:r>
          </w:p>
        </w:tc>
      </w:tr>
    </w:tbl>
    <w:p>
      <w:pPr>
        <w:sectPr>
          <w:headerReference w:type="default" r:id="rId7"/>
          <w:footerReference w:type="default" r:id="rId8"/>
          <w:pgSz w:w="12240" w:h="15840" w:orient="portrait"/>
          <w:pgMar w:top="1350" w:right="1350" w:bottom="1350" w:left="1350" w:header="708" w:footer="708" w:gutter="0"/>
          <w:pgNumType/>
          <w:docGrid w:linePitch="360"/>
        </w:sectPr>
      </w:pPr>
    </w:p>
    <w:p>
      <w:pPr>
        <w:pStyle w:val="Heading1"/>
        <w:pBdr>
          <w:bottom w:val="single" w:color="0F6B72" w:sz="8" w:space="4"/>
        </w:pBdr>
        <w:spacing w:after="160" w:before="360"/>
      </w:pPr>
      <w:r>
        <w:rPr>
          <w:rFonts w:ascii="Calibri" w:cs="Calibri" w:eastAsia="Calibri" w:hAnsi="Calibri"/>
          <w:b/>
          <w:bCs/>
          <w:color w:val="1F3864"/>
          <w:sz w:val="27"/>
          <w:szCs w:val="27"/>
        </w:rPr>
        <w:t xml:space="preserve">6.0  Detailed Threat – Barrier – Consequence Analysis</w:t>
      </w:r>
    </w:p>
    <w:p>
      <w:pPr>
        <w:spacing w:after="160" w:line="276"/>
      </w:pPr>
      <w:r>
        <w:rPr>
          <w:rFonts w:ascii="Calibri" w:cs="Calibri" w:eastAsia="Calibri" w:hAnsi="Calibri"/>
          <w:sz w:val="21"/>
          <w:szCs w:val="21"/>
        </w:rPr>
        <w:t xml:space="preserve">Each Top Event below follows SWDA’s Bowtie format: Threats/Causes and Preventive Barriers on the left, the Top Event centrally, and Mitigative/Recovery Barriers and Consequences on the right.</w:t>
      </w:r>
    </w:p>
    <w:p>
      <w:pPr>
        <w:spacing w:after="90" w:before="260"/>
      </w:pPr>
      <w:r>
        <w:rPr>
          <w:rFonts w:ascii="Calibri" w:cs="Calibri" w:eastAsia="Calibri" w:hAnsi="Calibri"/>
          <w:b/>
          <w:bCs/>
          <w:color w:val="8B1E1E"/>
          <w:sz w:val="21"/>
          <w:szCs w:val="21"/>
        </w:rPr>
        <w:t xml:space="preserve">TE-1   </w:t>
      </w:r>
      <w:r>
        <w:rPr>
          <w:rFonts w:ascii="Calibri" w:cs="Calibri" w:eastAsia="Calibri" w:hAnsi="Calibri"/>
          <w:b/>
          <w:bCs/>
          <w:color w:val="1F3864"/>
          <w:sz w:val="21"/>
          <w:szCs w:val="21"/>
        </w:rPr>
        <w:t xml:space="preserve">Loss of Containment – Crude Oil / Gas Oil Diluent during ATC/NME Tank Cleaning</w:t>
      </w:r>
    </w:p>
    <w:p>
      <w:pPr>
        <w:spacing w:after="130" w:line="258"/>
      </w:pPr>
      <w:r>
        <w:rPr>
          <w:rFonts w:ascii="Calibri" w:cs="Calibri" w:eastAsia="Calibri" w:hAnsi="Calibri"/>
          <w:i/>
          <w:iCs/>
          <w:color w:val="595959"/>
          <w:sz w:val="18"/>
          <w:szCs w:val="18"/>
        </w:rPr>
        <w:t xml:space="preserve">Uncontrolled release of crude oil, gas oil diluent or detergent during Automatic Tank Cleaning (ATC) transfer, recirculation or skimming operations.</w:t>
      </w:r>
    </w:p>
    <w:tbl>
      <w:tblPr>
        <w:tblW w:type="dxa" w:w="13500"/>
        <w:tblBorders>
          <w:top w:val="single" w:color="auto" w:sz="4"/>
          <w:left w:val="single" w:color="auto" w:sz="4"/>
          <w:bottom w:val="single" w:color="auto" w:sz="4"/>
          <w:right w:val="single" w:color="auto" w:sz="4"/>
          <w:insideH w:val="single" w:color="auto" w:sz="4"/>
          <w:insideV w:val="single" w:color="auto" w:sz="4"/>
        </w:tblBorders>
      </w:tblPr>
      <w:tblGrid>
        <w:gridCol w:w="2900"/>
        <w:gridCol w:w="3100"/>
        <w:gridCol w:w="1500"/>
        <w:gridCol w:w="3100"/>
        <w:gridCol w:w="2900"/>
      </w:tblGrid>
      <w:tr>
        <w:trPr>
          <w:tblHeader/>
        </w:trPr>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THREATS / CAUSES</w:t>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PREVENTIVE BARRIERS</w:t>
            </w:r>
          </w:p>
        </w:tc>
        <w:tc>
          <w:tcPr>
            <w:tcW w:type="dxa" w:w="1500"/>
            <w:shd w:fill="8B1E1E"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MITIGATIVE / RECOVERY BARRIERS</w:t>
            </w:r>
          </w:p>
        </w:tc>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CONSEQUENCES</w:t>
            </w:r>
          </w:p>
        </w:tc>
      </w:tr>
      <w:tr>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Hose, coupling or flange failure during product transfer from pontoon</w:t>
            </w:r>
          </w:p>
          <w:p>
            <w:pPr>
              <w:pStyle w:val="ListParagraph"/>
              <w:numPr>
                <w:ilvl w:val="0"/>
                <w:numId w:val="2"/>
              </w:numPr>
              <w:spacing w:after="70" w:line="250"/>
            </w:pPr>
            <w:r>
              <w:rPr>
                <w:rFonts w:ascii="Calibri" w:cs="Calibri" w:eastAsia="Calibri" w:hAnsi="Calibri"/>
                <w:sz w:val="17"/>
                <w:szCs w:val="17"/>
              </w:rPr>
              <w:t xml:space="preserve">Loss of tank inert (nitrogen) atmosphere control / oxygen ingress above 8%</w:t>
            </w:r>
          </w:p>
          <w:p>
            <w:pPr>
              <w:pStyle w:val="ListParagraph"/>
              <w:numPr>
                <w:ilvl w:val="0"/>
                <w:numId w:val="2"/>
              </w:numPr>
              <w:spacing w:after="70" w:line="250"/>
            </w:pPr>
            <w:r>
              <w:rPr>
                <w:rFonts w:ascii="Calibri" w:cs="Calibri" w:eastAsia="Calibri" w:hAnsi="Calibri"/>
                <w:sz w:val="17"/>
                <w:szCs w:val="17"/>
              </w:rPr>
              <w:t xml:space="preserve">Blockage or pressure surge in ATC suction, recirculation or skimming lines</w:t>
            </w:r>
          </w:p>
          <w:p>
            <w:pPr>
              <w:pStyle w:val="ListParagraph"/>
              <w:numPr>
                <w:ilvl w:val="0"/>
                <w:numId w:val="2"/>
              </w:numPr>
              <w:spacing w:after="70" w:line="250"/>
            </w:pPr>
            <w:r>
              <w:rPr>
                <w:rFonts w:ascii="Calibri" w:cs="Calibri" w:eastAsia="Calibri" w:hAnsi="Calibri"/>
                <w:sz w:val="17"/>
                <w:szCs w:val="17"/>
              </w:rPr>
              <w:t xml:space="preserve">Tri-Decanter vibration, overload or mechanical failure</w:t>
            </w:r>
          </w:p>
          <w:p>
            <w:pPr>
              <w:pStyle w:val="ListParagraph"/>
              <w:numPr>
                <w:ilvl w:val="0"/>
                <w:numId w:val="2"/>
              </w:numPr>
              <w:spacing w:after="0" w:line="250"/>
            </w:pPr>
            <w:r>
              <w:rPr>
                <w:rFonts w:ascii="Calibri" w:cs="Calibri" w:eastAsia="Calibri" w:hAnsi="Calibri"/>
                <w:sz w:val="17"/>
                <w:szCs w:val="17"/>
              </w:rPr>
              <w:t xml:space="preserve">Human error in Permit to Work or isolation control</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SDS available; personnel trained and competent</w:t>
            </w:r>
          </w:p>
          <w:p>
            <w:pPr>
              <w:pStyle w:val="ListParagraph"/>
              <w:numPr>
                <w:ilvl w:val="0"/>
                <w:numId w:val="2"/>
              </w:numPr>
              <w:spacing w:after="70" w:line="250"/>
            </w:pPr>
            <w:r>
              <w:rPr>
                <w:rFonts w:ascii="Calibri" w:cs="Calibri" w:eastAsia="Calibri" w:hAnsi="Calibri"/>
                <w:sz w:val="17"/>
                <w:szCs w:val="17"/>
              </w:rPr>
              <w:t xml:space="preserve">Bunded site / remote bund containment</w:t>
            </w:r>
          </w:p>
          <w:p>
            <w:pPr>
              <w:pStyle w:val="ListParagraph"/>
              <w:numPr>
                <w:ilvl w:val="0"/>
                <w:numId w:val="2"/>
              </w:numPr>
              <w:spacing w:after="70" w:line="250"/>
            </w:pPr>
            <w:r>
              <w:rPr>
                <w:rFonts w:ascii="Calibri" w:cs="Calibri" w:eastAsia="Calibri" w:hAnsi="Calibri"/>
                <w:sz w:val="17"/>
                <w:szCs w:val="17"/>
              </w:rPr>
              <w:t xml:space="preserve">Permit to Work (PTW) system for all transfer operations</w:t>
            </w:r>
          </w:p>
          <w:p>
            <w:pPr>
              <w:pStyle w:val="ListParagraph"/>
              <w:numPr>
                <w:ilvl w:val="0"/>
                <w:numId w:val="2"/>
              </w:numPr>
              <w:spacing w:after="70" w:line="250"/>
            </w:pPr>
            <w:r>
              <w:rPr>
                <w:rFonts w:ascii="Calibri" w:cs="Calibri" w:eastAsia="Calibri" w:hAnsi="Calibri"/>
                <w:sz w:val="17"/>
                <w:szCs w:val="17"/>
              </w:rPr>
              <w:t xml:space="preserve">Closed-loop Automatic Tank Cleaning (ATC) system employed</w:t>
            </w:r>
          </w:p>
          <w:p>
            <w:pPr>
              <w:pStyle w:val="ListParagraph"/>
              <w:numPr>
                <w:ilvl w:val="0"/>
                <w:numId w:val="2"/>
              </w:numPr>
              <w:spacing w:after="70" w:line="250"/>
            </w:pPr>
            <w:r>
              <w:rPr>
                <w:rFonts w:ascii="Calibri" w:cs="Calibri" w:eastAsia="Calibri" w:hAnsi="Calibri"/>
                <w:sz w:val="17"/>
                <w:szCs w:val="17"/>
              </w:rPr>
              <w:t xml:space="preserve">O₂ monitoring with automatic shutdown if level rises above 8%</w:t>
            </w:r>
          </w:p>
          <w:p>
            <w:pPr>
              <w:pStyle w:val="ListParagraph"/>
              <w:numPr>
                <w:ilvl w:val="0"/>
                <w:numId w:val="2"/>
              </w:numPr>
              <w:spacing w:after="70" w:line="250"/>
            </w:pPr>
            <w:r>
              <w:rPr>
                <w:rFonts w:ascii="Calibri" w:cs="Calibri" w:eastAsia="Calibri" w:hAnsi="Calibri"/>
                <w:sz w:val="17"/>
                <w:szCs w:val="17"/>
              </w:rPr>
              <w:t xml:space="preserve">ATEX-certified pumps, hosing and electrical equipment</w:t>
            </w:r>
          </w:p>
          <w:p>
            <w:pPr>
              <w:pStyle w:val="ListParagraph"/>
              <w:numPr>
                <w:ilvl w:val="0"/>
                <w:numId w:val="2"/>
              </w:numPr>
              <w:spacing w:after="70" w:line="250"/>
            </w:pPr>
            <w:r>
              <w:rPr>
                <w:rFonts w:ascii="Calibri" w:cs="Calibri" w:eastAsia="Calibri" w:hAnsi="Calibri"/>
                <w:sz w:val="17"/>
                <w:szCs w:val="17"/>
              </w:rPr>
              <w:t xml:space="preserve">All lines pressure-tested prior to commencing work</w:t>
            </w:r>
          </w:p>
          <w:p>
            <w:pPr>
              <w:pStyle w:val="ListParagraph"/>
              <w:numPr>
                <w:ilvl w:val="0"/>
                <w:numId w:val="2"/>
              </w:numPr>
              <w:spacing w:after="0" w:line="250"/>
            </w:pPr>
            <w:r>
              <w:rPr>
                <w:rFonts w:ascii="Calibri" w:cs="Calibri" w:eastAsia="Calibri" w:hAnsi="Calibri"/>
                <w:sz w:val="17"/>
                <w:szCs w:val="17"/>
              </w:rPr>
              <w:t xml:space="preserve">ATEX pump and bonded hosing for pontoon product transfer</w:t>
            </w:r>
          </w:p>
        </w:tc>
        <w:tc>
          <w:tcPr>
            <w:tcW w:type="dxa" w:w="1500"/>
            <w:shd w:fill="8B1E1E" w:val="clear"/>
            <w:tcMar>
              <w:top w:type="dxa" w:w="120"/>
              <w:left w:type="dxa" w:w="90"/>
              <w:bottom w:type="dxa" w:w="120"/>
              <w:right w:type="dxa" w:w="90"/>
            </w:tcMar>
            <w:vAlign w:val="center"/>
          </w:tcPr>
          <w:p>
            <w:pPr>
              <w:jc w:val="center"/>
            </w:pPr>
            <w:r>
              <w:rPr>
                <w:rFonts w:ascii="Calibri" w:cs="Calibri" w:eastAsia="Calibri" w:hAnsi="Calibri"/>
                <w:b/>
                <w:bCs/>
                <w:color w:val="FFFFFF"/>
                <w:sz w:val="15"/>
                <w:szCs w:val="15"/>
              </w:rPr>
              <w:t xml:space="preserve">TOP EVENT</w:t>
            </w:r>
          </w:p>
          <w:p>
            <w:pPr>
              <w:spacing w:before="60"/>
              <w:jc w:val="center"/>
            </w:pPr>
            <w:r>
              <w:rPr>
                <w:rFonts w:ascii="Calibri" w:cs="Calibri" w:eastAsia="Calibri" w:hAnsi="Calibri"/>
                <w:b/>
                <w:bCs/>
                <w:color w:val="FFFFFF"/>
                <w:sz w:val="17"/>
                <w:szCs w:val="17"/>
              </w:rPr>
              <w:t xml:space="preserve">Loss of Containment – Crude Oil / Gas Oil Diluent during ATC/NME Tank Cleaning</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Oil Spill Kit positioned at the work area</w:t>
            </w:r>
          </w:p>
          <w:p>
            <w:pPr>
              <w:pStyle w:val="ListParagraph"/>
              <w:numPr>
                <w:ilvl w:val="0"/>
                <w:numId w:val="2"/>
              </w:numPr>
              <w:spacing w:after="70" w:line="250"/>
            </w:pPr>
            <w:r>
              <w:rPr>
                <w:rFonts w:ascii="Calibri" w:cs="Calibri" w:eastAsia="Calibri" w:hAnsi="Calibri"/>
                <w:sz w:val="17"/>
                <w:szCs w:val="17"/>
              </w:rPr>
              <w:t xml:space="preserve">Vibration sensor auto-shuts down decanter; auto-torque protects against blockage</w:t>
            </w:r>
          </w:p>
          <w:p>
            <w:pPr>
              <w:pStyle w:val="ListParagraph"/>
              <w:numPr>
                <w:ilvl w:val="0"/>
                <w:numId w:val="2"/>
              </w:numPr>
              <w:spacing w:after="70" w:line="250"/>
            </w:pPr>
            <w:r>
              <w:rPr>
                <w:rFonts w:ascii="Calibri" w:cs="Calibri" w:eastAsia="Calibri" w:hAnsi="Calibri"/>
                <w:sz w:val="17"/>
                <w:szCs w:val="17"/>
              </w:rPr>
              <w:t xml:space="preserve">Automatic valve switching routes feed oil back to tank if decanter stops</w:t>
            </w:r>
          </w:p>
          <w:p>
            <w:pPr>
              <w:pStyle w:val="ListParagraph"/>
              <w:numPr>
                <w:ilvl w:val="0"/>
                <w:numId w:val="2"/>
              </w:numPr>
              <w:spacing w:after="70" w:line="250"/>
            </w:pPr>
            <w:r>
              <w:rPr>
                <w:rFonts w:ascii="Calibri" w:cs="Calibri" w:eastAsia="Calibri" w:hAnsi="Calibri"/>
                <w:sz w:val="17"/>
                <w:szCs w:val="17"/>
              </w:rPr>
              <w:t xml:space="preserve">Trained personnel; works area cordoned off</w:t>
            </w:r>
          </w:p>
          <w:p>
            <w:pPr>
              <w:pStyle w:val="ListParagraph"/>
              <w:numPr>
                <w:ilvl w:val="0"/>
                <w:numId w:val="2"/>
              </w:numPr>
              <w:spacing w:after="0" w:line="250"/>
            </w:pPr>
            <w:r>
              <w:rPr>
                <w:rFonts w:ascii="Calibri" w:cs="Calibri" w:eastAsia="Calibri" w:hAnsi="Calibri"/>
                <w:sz w:val="17"/>
                <w:szCs w:val="17"/>
              </w:rPr>
              <w:t xml:space="preserve">Sludge Spill Emergency Response mop-up equipment (absorbents, booms) and bio-surfactant</w:t>
            </w:r>
          </w:p>
        </w:tc>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Environment (E): soil / groundwater contamination – rated Level 3–4 (Localised–Major Effect) if uncontained</w:t>
            </w:r>
          </w:p>
          <w:p>
            <w:pPr>
              <w:pStyle w:val="ListParagraph"/>
              <w:numPr>
                <w:ilvl w:val="0"/>
                <w:numId w:val="2"/>
              </w:numPr>
              <w:spacing w:after="70" w:line="250"/>
            </w:pPr>
            <w:r>
              <w:rPr>
                <w:rFonts w:ascii="Calibri" w:cs="Calibri" w:eastAsia="Calibri" w:hAnsi="Calibri"/>
                <w:sz w:val="17"/>
                <w:szCs w:val="17"/>
              </w:rPr>
              <w:t xml:space="preserve">People (P): exposure to hydrocarbon vapours; potential injury</w:t>
            </w:r>
          </w:p>
          <w:p>
            <w:pPr>
              <w:pStyle w:val="ListParagraph"/>
              <w:numPr>
                <w:ilvl w:val="0"/>
                <w:numId w:val="2"/>
              </w:numPr>
              <w:spacing w:after="70" w:line="250"/>
            </w:pPr>
            <w:r>
              <w:rPr>
                <w:rFonts w:ascii="Calibri" w:cs="Calibri" w:eastAsia="Calibri" w:hAnsi="Calibri"/>
                <w:sz w:val="17"/>
                <w:szCs w:val="17"/>
              </w:rPr>
              <w:t xml:space="preserve">Assets (A): damage to ATC plant/modules</w:t>
            </w:r>
          </w:p>
          <w:p>
            <w:pPr>
              <w:pStyle w:val="ListParagraph"/>
              <w:numPr>
                <w:ilvl w:val="0"/>
                <w:numId w:val="2"/>
              </w:numPr>
              <w:spacing w:after="0" w:line="250"/>
            </w:pPr>
            <w:r>
              <w:rPr>
                <w:rFonts w:ascii="Calibri" w:cs="Calibri" w:eastAsia="Calibri" w:hAnsi="Calibri"/>
                <w:sz w:val="17"/>
                <w:szCs w:val="17"/>
              </w:rPr>
              <w:t xml:space="preserve">Reputation (R): Client and regulatory scrutiny (NUPRC/NESREA)</w:t>
            </w:r>
          </w:p>
        </w:tc>
      </w:tr>
    </w:tbl>
    <w:p>
      <w:pPr>
        <w:spacing w:after="100" w:line="258"/>
      </w:pPr>
      <w:r>
        <w:rPr>
          <w:rFonts w:ascii="Calibri" w:cs="Calibri" w:eastAsia="Calibri" w:hAnsi="Calibri"/>
          <w:b/>
          <w:bCs/>
          <w:color w:val="9C5700"/>
          <w:sz w:val="18"/>
          <w:szCs w:val="18"/>
        </w:rPr>
        <w:t xml:space="preserve">Escalation Factor: </w:t>
      </w:r>
      <w:r>
        <w:rPr>
          <w:rFonts w:ascii="Calibri" w:cs="Calibri" w:eastAsia="Calibri" w:hAnsi="Calibri"/>
          <w:sz w:val="18"/>
          <w:szCs w:val="18"/>
        </w:rPr>
        <w:t xml:space="preserve">Night shift work – reduced visibility/fatigue during transfer operations.   </w:t>
      </w:r>
      <w:r>
        <w:rPr>
          <w:rFonts w:ascii="Calibri" w:cs="Calibri" w:eastAsia="Calibri" w:hAnsi="Calibri"/>
          <w:b/>
          <w:bCs/>
          <w:color w:val="9C5700"/>
          <w:sz w:val="18"/>
          <w:szCs w:val="18"/>
        </w:rPr>
        <w:t xml:space="preserve">Escalation Factor Control: </w:t>
      </w:r>
      <w:r>
        <w:rPr>
          <w:rFonts w:ascii="Calibri" w:cs="Calibri" w:eastAsia="Calibri" w:hAnsi="Calibri"/>
          <w:sz w:val="18"/>
          <w:szCs w:val="18"/>
        </w:rPr>
        <w:t xml:space="preserve">No lone working; minimum 2 operators always present; work-area lighting installed; good housekeeping maintained.</w:t>
      </w:r>
    </w:p>
    <w:p>
      <w:pPr>
        <w:spacing w:after="260" w:before="100"/>
      </w:pPr>
      <w:r>
        <w:rPr>
          <w:rFonts w:ascii="Calibri" w:cs="Calibri" w:eastAsia="Calibri" w:hAnsi="Calibri"/>
          <w:b/>
          <w:bCs/>
          <w:sz w:val="18"/>
          <w:szCs w:val="18"/>
        </w:rPr>
        <w:t xml:space="preserve">Initial Risk (pre-mitigation barriers): </w:t>
      </w:r>
      <w:r>
        <w:rPr>
          <w:rFonts w:ascii="Calibri" w:cs="Calibri" w:eastAsia="Calibri" w:hAnsi="Calibri"/>
          <w:sz w:val="18"/>
          <w:szCs w:val="18"/>
        </w:rPr>
        <w:t xml:space="preserve">C5 / L4 – Category IV (High)   </w:t>
      </w:r>
      <w:r>
        <w:rPr>
          <w:rFonts w:ascii="Calibri" w:cs="Calibri" w:eastAsia="Calibri" w:hAnsi="Calibri"/>
          <w:b/>
          <w:bCs/>
          <w:sz w:val="18"/>
          <w:szCs w:val="18"/>
        </w:rPr>
        <w:t xml:space="preserve">Residual Risk (with barriers applied): </w:t>
      </w:r>
      <w:r>
        <w:rPr>
          <w:rFonts w:ascii="Calibri" w:cs="Calibri" w:eastAsia="Calibri" w:hAnsi="Calibri"/>
          <w:sz w:val="18"/>
          <w:szCs w:val="18"/>
        </w:rPr>
        <w:t xml:space="preserve">C5 / L2 – Category II (Medium, ALARP)</w:t>
      </w:r>
    </w:p>
    <w:p>
      <w:pPr>
        <w:spacing w:after="90" w:before="260"/>
      </w:pPr>
      <w:r>
        <w:rPr>
          <w:rFonts w:ascii="Calibri" w:cs="Calibri" w:eastAsia="Calibri" w:hAnsi="Calibri"/>
          <w:b/>
          <w:bCs/>
          <w:color w:val="8B1E1E"/>
          <w:sz w:val="21"/>
          <w:szCs w:val="21"/>
        </w:rPr>
        <w:t xml:space="preserve">TE-2   </w:t>
      </w:r>
      <w:r>
        <w:rPr>
          <w:rFonts w:ascii="Calibri" w:cs="Calibri" w:eastAsia="Calibri" w:hAnsi="Calibri"/>
          <w:b/>
          <w:bCs/>
          <w:color w:val="1F3864"/>
          <w:sz w:val="21"/>
          <w:szCs w:val="21"/>
        </w:rPr>
        <w:t xml:space="preserve">Recovered Oil Tank Overfill / Loss of Containment</w:t>
      </w:r>
    </w:p>
    <w:p>
      <w:pPr>
        <w:spacing w:after="130" w:line="258"/>
      </w:pPr>
      <w:r>
        <w:rPr>
          <w:rFonts w:ascii="Calibri" w:cs="Calibri" w:eastAsia="Calibri" w:hAnsi="Calibri"/>
          <w:i/>
          <w:iCs/>
          <w:color w:val="595959"/>
          <w:sz w:val="18"/>
          <w:szCs w:val="18"/>
        </w:rPr>
        <w:t xml:space="preserve">Overfill or leakage from the on-site Recovered Oil Tank or associated lobe-pump transfer system.</w:t>
      </w:r>
    </w:p>
    <w:tbl>
      <w:tblPr>
        <w:tblW w:type="dxa" w:w="13500"/>
        <w:tblBorders>
          <w:top w:val="single" w:color="auto" w:sz="4"/>
          <w:left w:val="single" w:color="auto" w:sz="4"/>
          <w:bottom w:val="single" w:color="auto" w:sz="4"/>
          <w:right w:val="single" w:color="auto" w:sz="4"/>
          <w:insideH w:val="single" w:color="auto" w:sz="4"/>
          <w:insideV w:val="single" w:color="auto" w:sz="4"/>
        </w:tblBorders>
      </w:tblPr>
      <w:tblGrid>
        <w:gridCol w:w="2900"/>
        <w:gridCol w:w="3100"/>
        <w:gridCol w:w="1500"/>
        <w:gridCol w:w="3100"/>
        <w:gridCol w:w="2900"/>
      </w:tblGrid>
      <w:tr>
        <w:trPr>
          <w:tblHeader/>
        </w:trPr>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THREATS / CAUSES</w:t>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PREVENTIVE BARRIERS</w:t>
            </w:r>
          </w:p>
        </w:tc>
        <w:tc>
          <w:tcPr>
            <w:tcW w:type="dxa" w:w="1500"/>
            <w:shd w:fill="8B1E1E"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MITIGATIVE / RECOVERY BARRIERS</w:t>
            </w:r>
          </w:p>
        </w:tc>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CONSEQUENCES</w:t>
            </w:r>
          </w:p>
        </w:tc>
      </w:tr>
      <w:tr>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Level-sensor or control-system failure</w:t>
            </w:r>
          </w:p>
          <w:p>
            <w:pPr>
              <w:pStyle w:val="ListParagraph"/>
              <w:numPr>
                <w:ilvl w:val="0"/>
                <w:numId w:val="2"/>
              </w:numPr>
              <w:spacing w:after="70" w:line="250"/>
            </w:pPr>
            <w:r>
              <w:rPr>
                <w:rFonts w:ascii="Calibri" w:cs="Calibri" w:eastAsia="Calibri" w:hAnsi="Calibri"/>
                <w:sz w:val="17"/>
                <w:szCs w:val="17"/>
              </w:rPr>
              <w:t xml:space="preserve">Lobe pump seal or line failure</w:t>
            </w:r>
          </w:p>
          <w:p>
            <w:pPr>
              <w:pStyle w:val="ListParagraph"/>
              <w:numPr>
                <w:ilvl w:val="0"/>
                <w:numId w:val="2"/>
              </w:numPr>
              <w:spacing w:after="70" w:line="250"/>
            </w:pPr>
            <w:r>
              <w:rPr>
                <w:rFonts w:ascii="Calibri" w:cs="Calibri" w:eastAsia="Calibri" w:hAnsi="Calibri"/>
                <w:sz w:val="17"/>
                <w:szCs w:val="17"/>
              </w:rPr>
              <w:t xml:space="preserve">Loss of power/signal to automatic control system</w:t>
            </w:r>
          </w:p>
          <w:p>
            <w:pPr>
              <w:pStyle w:val="ListParagraph"/>
              <w:numPr>
                <w:ilvl w:val="0"/>
                <w:numId w:val="2"/>
              </w:numPr>
              <w:spacing w:after="0" w:line="250"/>
            </w:pPr>
            <w:r>
              <w:rPr>
                <w:rFonts w:ascii="Calibri" w:cs="Calibri" w:eastAsia="Calibri" w:hAnsi="Calibri"/>
                <w:sz w:val="17"/>
                <w:szCs w:val="17"/>
              </w:rPr>
              <w:t xml:space="preserve">Blocked outlet or transfer line</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Level sensors control lobe pump speed to maintain constant tank level</w:t>
            </w:r>
          </w:p>
          <w:p>
            <w:pPr>
              <w:pStyle w:val="ListParagraph"/>
              <w:numPr>
                <w:ilvl w:val="0"/>
                <w:numId w:val="2"/>
              </w:numPr>
              <w:spacing w:after="70" w:line="250"/>
            </w:pPr>
            <w:r>
              <w:rPr>
                <w:rFonts w:ascii="Calibri" w:cs="Calibri" w:eastAsia="Calibri" w:hAnsi="Calibri"/>
                <w:sz w:val="17"/>
                <w:szCs w:val="17"/>
              </w:rPr>
              <w:t xml:space="preserve">High-level alarm raised automatically as level approaches set point</w:t>
            </w:r>
          </w:p>
          <w:p>
            <w:pPr>
              <w:pStyle w:val="ListParagraph"/>
              <w:numPr>
                <w:ilvl w:val="0"/>
                <w:numId w:val="2"/>
              </w:numPr>
              <w:spacing w:after="70" w:line="250"/>
            </w:pPr>
            <w:r>
              <w:rPr>
                <w:rFonts w:ascii="Calibri" w:cs="Calibri" w:eastAsia="Calibri" w:hAnsi="Calibri"/>
                <w:sz w:val="17"/>
                <w:szCs w:val="17"/>
              </w:rPr>
              <w:t xml:space="preserve">Automatic pump slow-down/stop at pre-set point (prevents “dry run” and overfill)</w:t>
            </w:r>
          </w:p>
          <w:p>
            <w:pPr>
              <w:pStyle w:val="ListParagraph"/>
              <w:numPr>
                <w:ilvl w:val="0"/>
                <w:numId w:val="2"/>
              </w:numPr>
              <w:spacing w:after="70" w:line="250"/>
            </w:pPr>
            <w:r>
              <w:rPr>
                <w:rFonts w:ascii="Calibri" w:cs="Calibri" w:eastAsia="Calibri" w:hAnsi="Calibri"/>
                <w:sz w:val="17"/>
                <w:szCs w:val="17"/>
              </w:rPr>
              <w:t xml:space="preserve">Permit to Work system</w:t>
            </w:r>
          </w:p>
          <w:p>
            <w:pPr>
              <w:pStyle w:val="ListParagraph"/>
              <w:numPr>
                <w:ilvl w:val="0"/>
                <w:numId w:val="2"/>
              </w:numPr>
              <w:spacing w:after="70" w:line="250"/>
            </w:pPr>
            <w:r>
              <w:rPr>
                <w:rFonts w:ascii="Calibri" w:cs="Calibri" w:eastAsia="Calibri" w:hAnsi="Calibri"/>
                <w:sz w:val="17"/>
                <w:szCs w:val="17"/>
              </w:rPr>
              <w:t xml:space="preserve">Remote bund containment around tank</w:t>
            </w:r>
          </w:p>
          <w:p>
            <w:pPr>
              <w:pStyle w:val="ListParagraph"/>
              <w:numPr>
                <w:ilvl w:val="0"/>
                <w:numId w:val="2"/>
              </w:numPr>
              <w:spacing w:after="0" w:line="250"/>
            </w:pPr>
            <w:r>
              <w:rPr>
                <w:rFonts w:ascii="Calibri" w:cs="Calibri" w:eastAsia="Calibri" w:hAnsi="Calibri"/>
                <w:sz w:val="17"/>
                <w:szCs w:val="17"/>
              </w:rPr>
              <w:t xml:space="preserve">Fire-fighting system in place</w:t>
            </w:r>
          </w:p>
        </w:tc>
        <w:tc>
          <w:tcPr>
            <w:tcW w:type="dxa" w:w="1500"/>
            <w:shd w:fill="8B1E1E" w:val="clear"/>
            <w:tcMar>
              <w:top w:type="dxa" w:w="120"/>
              <w:left w:type="dxa" w:w="90"/>
              <w:bottom w:type="dxa" w:w="120"/>
              <w:right w:type="dxa" w:w="90"/>
            </w:tcMar>
            <w:vAlign w:val="center"/>
          </w:tcPr>
          <w:p>
            <w:pPr>
              <w:jc w:val="center"/>
            </w:pPr>
            <w:r>
              <w:rPr>
                <w:rFonts w:ascii="Calibri" w:cs="Calibri" w:eastAsia="Calibri" w:hAnsi="Calibri"/>
                <w:b/>
                <w:bCs/>
                <w:color w:val="FFFFFF"/>
                <w:sz w:val="15"/>
                <w:szCs w:val="15"/>
              </w:rPr>
              <w:t xml:space="preserve">TOP EVENT</w:t>
            </w:r>
          </w:p>
          <w:p>
            <w:pPr>
              <w:spacing w:before="60"/>
              <w:jc w:val="center"/>
            </w:pPr>
            <w:r>
              <w:rPr>
                <w:rFonts w:ascii="Calibri" w:cs="Calibri" w:eastAsia="Calibri" w:hAnsi="Calibri"/>
                <w:b/>
                <w:bCs/>
                <w:color w:val="FFFFFF"/>
                <w:sz w:val="17"/>
                <w:szCs w:val="17"/>
              </w:rPr>
              <w:t xml:space="preserve">Recovered Oil Tank Overfill / Loss of Containment</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Remote bund captures any overflow before it reaches open ground</w:t>
            </w:r>
          </w:p>
          <w:p>
            <w:pPr>
              <w:pStyle w:val="ListParagraph"/>
              <w:numPr>
                <w:ilvl w:val="0"/>
                <w:numId w:val="2"/>
              </w:numPr>
              <w:spacing w:after="70" w:line="250"/>
            </w:pPr>
            <w:r>
              <w:rPr>
                <w:rFonts w:ascii="Calibri" w:cs="Calibri" w:eastAsia="Calibri" w:hAnsi="Calibri"/>
                <w:sz w:val="17"/>
                <w:szCs w:val="17"/>
              </w:rPr>
              <w:t xml:space="preserve">Oil Spill Kit and absorbent booms available at tank area</w:t>
            </w:r>
          </w:p>
          <w:p>
            <w:pPr>
              <w:pStyle w:val="ListParagraph"/>
              <w:numPr>
                <w:ilvl w:val="0"/>
                <w:numId w:val="2"/>
              </w:numPr>
              <w:spacing w:after="0" w:line="250"/>
            </w:pPr>
            <w:r>
              <w:rPr>
                <w:rFonts w:ascii="Calibri" w:cs="Calibri" w:eastAsia="Calibri" w:hAnsi="Calibri"/>
                <w:sz w:val="17"/>
                <w:szCs w:val="17"/>
              </w:rPr>
              <w:t xml:space="preserve">Trained response team monitor and action high-level alarms</w:t>
            </w:r>
          </w:p>
        </w:tc>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Environment (E): spillage/damage to environment within bunded area</w:t>
            </w:r>
          </w:p>
          <w:p>
            <w:pPr>
              <w:pStyle w:val="ListParagraph"/>
              <w:numPr>
                <w:ilvl w:val="0"/>
                <w:numId w:val="2"/>
              </w:numPr>
              <w:spacing w:after="0" w:line="250"/>
            </w:pPr>
            <w:r>
              <w:rPr>
                <w:rFonts w:ascii="Calibri" w:cs="Calibri" w:eastAsia="Calibri" w:hAnsi="Calibri"/>
                <w:sz w:val="17"/>
                <w:szCs w:val="17"/>
              </w:rPr>
              <w:t xml:space="preserve">Assets (A): damage to plant/equipment</w:t>
            </w:r>
          </w:p>
        </w:tc>
      </w:tr>
    </w:tbl>
    <w:p>
      <w:pPr>
        <w:spacing w:after="100"/>
      </w:pPr>
    </w:p>
    <w:p>
      <w:pPr>
        <w:spacing w:after="260" w:before="100"/>
      </w:pPr>
      <w:r>
        <w:rPr>
          <w:rFonts w:ascii="Calibri" w:cs="Calibri" w:eastAsia="Calibri" w:hAnsi="Calibri"/>
          <w:b/>
          <w:bCs/>
          <w:sz w:val="18"/>
          <w:szCs w:val="18"/>
        </w:rPr>
        <w:t xml:space="preserve">Initial Risk (pre-mitigation barriers): </w:t>
      </w:r>
      <w:r>
        <w:rPr>
          <w:rFonts w:ascii="Calibri" w:cs="Calibri" w:eastAsia="Calibri" w:hAnsi="Calibri"/>
          <w:sz w:val="18"/>
          <w:szCs w:val="18"/>
        </w:rPr>
        <w:t xml:space="preserve">C3 / L2 – Category II (Medium)   </w:t>
      </w:r>
      <w:r>
        <w:rPr>
          <w:rFonts w:ascii="Calibri" w:cs="Calibri" w:eastAsia="Calibri" w:hAnsi="Calibri"/>
          <w:b/>
          <w:bCs/>
          <w:sz w:val="18"/>
          <w:szCs w:val="18"/>
        </w:rPr>
        <w:t xml:space="preserve">Residual Risk (with barriers applied): </w:t>
      </w:r>
      <w:r>
        <w:rPr>
          <w:rFonts w:ascii="Calibri" w:cs="Calibri" w:eastAsia="Calibri" w:hAnsi="Calibri"/>
          <w:sz w:val="18"/>
          <w:szCs w:val="18"/>
        </w:rPr>
        <w:t xml:space="preserve">C2 / L2 – Category I (Low, ALARP)</w:t>
      </w:r>
    </w:p>
    <w:p>
      <w:pPr>
        <w:spacing w:after="90" w:before="260"/>
      </w:pPr>
      <w:r>
        <w:rPr>
          <w:rFonts w:ascii="Calibri" w:cs="Calibri" w:eastAsia="Calibri" w:hAnsi="Calibri"/>
          <w:b/>
          <w:bCs/>
          <w:color w:val="8B1E1E"/>
          <w:sz w:val="21"/>
          <w:szCs w:val="21"/>
        </w:rPr>
        <w:t xml:space="preserve">TE-3   </w:t>
      </w:r>
      <w:r>
        <w:rPr>
          <w:rFonts w:ascii="Calibri" w:cs="Calibri" w:eastAsia="Calibri" w:hAnsi="Calibri"/>
          <w:b/>
          <w:bCs/>
          <w:color w:val="1F3864"/>
          <w:sz w:val="21"/>
          <w:szCs w:val="21"/>
        </w:rPr>
        <w:t xml:space="preserve">Spillage during IBC / Solids Container Filling, Handling &amp; Forklift Transport</w:t>
      </w:r>
    </w:p>
    <w:p>
      <w:pPr>
        <w:spacing w:after="130" w:line="258"/>
      </w:pPr>
      <w:r>
        <w:rPr>
          <w:rFonts w:ascii="Calibri" w:cs="Calibri" w:eastAsia="Calibri" w:hAnsi="Calibri"/>
          <w:i/>
          <w:iCs/>
          <w:color w:val="595959"/>
          <w:sz w:val="18"/>
          <w:szCs w:val="18"/>
        </w:rPr>
        <w:t xml:space="preserve">Spill or release of oily solids/sludge during filling, replacement or forklift movement of IBCs and solids containers.</w:t>
      </w:r>
    </w:p>
    <w:tbl>
      <w:tblPr>
        <w:tblW w:type="dxa" w:w="13500"/>
        <w:tblBorders>
          <w:top w:val="single" w:color="auto" w:sz="4"/>
          <w:left w:val="single" w:color="auto" w:sz="4"/>
          <w:bottom w:val="single" w:color="auto" w:sz="4"/>
          <w:right w:val="single" w:color="auto" w:sz="4"/>
          <w:insideH w:val="single" w:color="auto" w:sz="4"/>
          <w:insideV w:val="single" w:color="auto" w:sz="4"/>
        </w:tblBorders>
      </w:tblPr>
      <w:tblGrid>
        <w:gridCol w:w="2900"/>
        <w:gridCol w:w="3100"/>
        <w:gridCol w:w="1500"/>
        <w:gridCol w:w="3100"/>
        <w:gridCol w:w="2900"/>
      </w:tblGrid>
      <w:tr>
        <w:trPr>
          <w:tblHeader/>
        </w:trPr>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THREATS / CAUSES</w:t>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PREVENTIVE BARRIERS</w:t>
            </w:r>
          </w:p>
        </w:tc>
        <w:tc>
          <w:tcPr>
            <w:tcW w:type="dxa" w:w="1500"/>
            <w:shd w:fill="8B1E1E"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MITIGATIVE / RECOVERY BARRIERS</w:t>
            </w:r>
          </w:p>
        </w:tc>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CONSEQUENCES</w:t>
            </w:r>
          </w:p>
        </w:tc>
      </w:tr>
      <w:tr>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Overfilling of IBC or solids container</w:t>
            </w:r>
          </w:p>
          <w:p>
            <w:pPr>
              <w:pStyle w:val="ListParagraph"/>
              <w:numPr>
                <w:ilvl w:val="0"/>
                <w:numId w:val="2"/>
              </w:numPr>
              <w:spacing w:after="70" w:line="250"/>
            </w:pPr>
            <w:r>
              <w:rPr>
                <w:rFonts w:ascii="Calibri" w:cs="Calibri" w:eastAsia="Calibri" w:hAnsi="Calibri"/>
                <w:sz w:val="17"/>
                <w:szCs w:val="17"/>
              </w:rPr>
              <w:t xml:space="preserve">Forklift mishandling, collision or unsecured load</w:t>
            </w:r>
          </w:p>
          <w:p>
            <w:pPr>
              <w:pStyle w:val="ListParagraph"/>
              <w:numPr>
                <w:ilvl w:val="0"/>
                <w:numId w:val="2"/>
              </w:numPr>
              <w:spacing w:after="0" w:line="250"/>
            </w:pPr>
            <w:r>
              <w:rPr>
                <w:rFonts w:ascii="Calibri" w:cs="Calibri" w:eastAsia="Calibri" w:hAnsi="Calibri"/>
                <w:sz w:val="17"/>
                <w:szCs w:val="17"/>
              </w:rPr>
              <w:t xml:space="preserve">Use of damaged or non-UN-approved IBC</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IBC placed on spill pallet before and during filling</w:t>
            </w:r>
          </w:p>
          <w:p>
            <w:pPr>
              <w:pStyle w:val="ListParagraph"/>
              <w:numPr>
                <w:ilvl w:val="0"/>
                <w:numId w:val="2"/>
              </w:numPr>
              <w:spacing w:after="70" w:line="250"/>
            </w:pPr>
            <w:r>
              <w:rPr>
                <w:rFonts w:ascii="Calibri" w:cs="Calibri" w:eastAsia="Calibri" w:hAnsi="Calibri"/>
                <w:sz w:val="17"/>
                <w:szCs w:val="17"/>
              </w:rPr>
              <w:t xml:space="preserve">Filling monitored and stopped at approximately 75% to avoid overfill</w:t>
            </w:r>
          </w:p>
          <w:p>
            <w:pPr>
              <w:pStyle w:val="ListParagraph"/>
              <w:numPr>
                <w:ilvl w:val="0"/>
                <w:numId w:val="2"/>
              </w:numPr>
              <w:spacing w:after="70" w:line="250"/>
            </w:pPr>
            <w:r>
              <w:rPr>
                <w:rFonts w:ascii="Calibri" w:cs="Calibri" w:eastAsia="Calibri" w:hAnsi="Calibri"/>
                <w:sz w:val="17"/>
                <w:szCs w:val="17"/>
              </w:rPr>
              <w:t xml:space="preserve">Only certified forklifts and trained drivers used; no fork riding</w:t>
            </w:r>
          </w:p>
          <w:p>
            <w:pPr>
              <w:pStyle w:val="ListParagraph"/>
              <w:numPr>
                <w:ilvl w:val="0"/>
                <w:numId w:val="2"/>
              </w:numPr>
              <w:spacing w:after="70" w:line="250"/>
            </w:pPr>
            <w:r>
              <w:rPr>
                <w:rFonts w:ascii="Calibri" w:cs="Calibri" w:eastAsia="Calibri" w:hAnsi="Calibri"/>
                <w:sz w:val="17"/>
                <w:szCs w:val="17"/>
              </w:rPr>
              <w:t xml:space="preserve">IBCs UN-approved only; adequate supply maintained</w:t>
            </w:r>
          </w:p>
          <w:p>
            <w:pPr>
              <w:pStyle w:val="ListParagraph"/>
              <w:numPr>
                <w:ilvl w:val="0"/>
                <w:numId w:val="2"/>
              </w:numPr>
              <w:spacing w:after="70" w:line="250"/>
            </w:pPr>
            <w:r>
              <w:rPr>
                <w:rFonts w:ascii="Calibri" w:cs="Calibri" w:eastAsia="Calibri" w:hAnsi="Calibri"/>
                <w:sz w:val="17"/>
                <w:szCs w:val="17"/>
              </w:rPr>
              <w:t xml:space="preserve">Permit to Work system; remote bund; fire-fighting system</w:t>
            </w:r>
          </w:p>
          <w:p>
            <w:pPr>
              <w:pStyle w:val="ListParagraph"/>
              <w:numPr>
                <w:ilvl w:val="0"/>
                <w:numId w:val="2"/>
              </w:numPr>
              <w:spacing w:after="0" w:line="250"/>
            </w:pPr>
            <w:r>
              <w:rPr>
                <w:rFonts w:ascii="Calibri" w:cs="Calibri" w:eastAsia="Calibri" w:hAnsi="Calibri"/>
                <w:sz w:val="17"/>
                <w:szCs w:val="17"/>
              </w:rPr>
              <w:t xml:space="preserve">Flashing beacons on all moving plant; load secured and inspected prior to lifting</w:t>
            </w:r>
          </w:p>
        </w:tc>
        <w:tc>
          <w:tcPr>
            <w:tcW w:type="dxa" w:w="1500"/>
            <w:shd w:fill="8B1E1E" w:val="clear"/>
            <w:tcMar>
              <w:top w:type="dxa" w:w="120"/>
              <w:left w:type="dxa" w:w="90"/>
              <w:bottom w:type="dxa" w:w="120"/>
              <w:right w:type="dxa" w:w="90"/>
            </w:tcMar>
            <w:vAlign w:val="center"/>
          </w:tcPr>
          <w:p>
            <w:pPr>
              <w:jc w:val="center"/>
            </w:pPr>
            <w:r>
              <w:rPr>
                <w:rFonts w:ascii="Calibri" w:cs="Calibri" w:eastAsia="Calibri" w:hAnsi="Calibri"/>
                <w:b/>
                <w:bCs/>
                <w:color w:val="FFFFFF"/>
                <w:sz w:val="15"/>
                <w:szCs w:val="15"/>
              </w:rPr>
              <w:t xml:space="preserve">TOP EVENT</w:t>
            </w:r>
          </w:p>
          <w:p>
            <w:pPr>
              <w:spacing w:before="60"/>
              <w:jc w:val="center"/>
            </w:pPr>
            <w:r>
              <w:rPr>
                <w:rFonts w:ascii="Calibri" w:cs="Calibri" w:eastAsia="Calibri" w:hAnsi="Calibri"/>
                <w:b/>
                <w:bCs/>
                <w:color w:val="FFFFFF"/>
                <w:sz w:val="17"/>
                <w:szCs w:val="17"/>
              </w:rPr>
              <w:t xml:space="preserve">Spillage during IBC / Solids Container Filling, Handling &amp; Forklift Transport</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Spill pallet contains any drips or overflow at source</w:t>
            </w:r>
          </w:p>
          <w:p>
            <w:pPr>
              <w:pStyle w:val="ListParagraph"/>
              <w:numPr>
                <w:ilvl w:val="0"/>
                <w:numId w:val="2"/>
              </w:numPr>
              <w:spacing w:after="70" w:line="250"/>
            </w:pPr>
            <w:r>
              <w:rPr>
                <w:rFonts w:ascii="Calibri" w:cs="Calibri" w:eastAsia="Calibri" w:hAnsi="Calibri"/>
                <w:sz w:val="17"/>
                <w:szCs w:val="17"/>
              </w:rPr>
              <w:t xml:space="preserve">Spare IBCs and spill kit held on standby</w:t>
            </w:r>
          </w:p>
          <w:p>
            <w:pPr>
              <w:pStyle w:val="ListParagraph"/>
              <w:numPr>
                <w:ilvl w:val="0"/>
                <w:numId w:val="2"/>
              </w:numPr>
              <w:spacing w:after="0" w:line="250"/>
            </w:pPr>
            <w:r>
              <w:rPr>
                <w:rFonts w:ascii="Calibri" w:cs="Calibri" w:eastAsia="Calibri" w:hAnsi="Calibri"/>
                <w:sz w:val="17"/>
                <w:szCs w:val="17"/>
              </w:rPr>
              <w:t xml:space="preserve">Segregation of pedestrians/vehicles; banksman for all moving equipment</w:t>
            </w:r>
          </w:p>
        </w:tc>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Environment (E): spillage / localised environmental damage</w:t>
            </w:r>
          </w:p>
          <w:p>
            <w:pPr>
              <w:pStyle w:val="ListParagraph"/>
              <w:numPr>
                <w:ilvl w:val="0"/>
                <w:numId w:val="2"/>
              </w:numPr>
              <w:spacing w:after="70" w:line="250"/>
            </w:pPr>
            <w:r>
              <w:rPr>
                <w:rFonts w:ascii="Calibri" w:cs="Calibri" w:eastAsia="Calibri" w:hAnsi="Calibri"/>
                <w:sz w:val="17"/>
                <w:szCs w:val="17"/>
              </w:rPr>
              <w:t xml:space="preserve">People (P): injury from forklift/manual handling incident</w:t>
            </w:r>
          </w:p>
          <w:p>
            <w:pPr>
              <w:pStyle w:val="ListParagraph"/>
              <w:numPr>
                <w:ilvl w:val="0"/>
                <w:numId w:val="2"/>
              </w:numPr>
              <w:spacing w:after="0" w:line="250"/>
            </w:pPr>
            <w:r>
              <w:rPr>
                <w:rFonts w:ascii="Calibri" w:cs="Calibri" w:eastAsia="Calibri" w:hAnsi="Calibri"/>
                <w:sz w:val="17"/>
                <w:szCs w:val="17"/>
              </w:rPr>
              <w:t xml:space="preserve">Assets (A): damage to plant and equipment</w:t>
            </w:r>
          </w:p>
        </w:tc>
      </w:tr>
    </w:tbl>
    <w:p>
      <w:pPr>
        <w:spacing w:after="100"/>
      </w:pPr>
    </w:p>
    <w:p>
      <w:pPr>
        <w:spacing w:after="260" w:before="100"/>
      </w:pPr>
      <w:r>
        <w:rPr>
          <w:rFonts w:ascii="Calibri" w:cs="Calibri" w:eastAsia="Calibri" w:hAnsi="Calibri"/>
          <w:b/>
          <w:bCs/>
          <w:sz w:val="18"/>
          <w:szCs w:val="18"/>
        </w:rPr>
        <w:t xml:space="preserve">Initial Risk (pre-mitigation barriers): </w:t>
      </w:r>
      <w:r>
        <w:rPr>
          <w:rFonts w:ascii="Calibri" w:cs="Calibri" w:eastAsia="Calibri" w:hAnsi="Calibri"/>
          <w:sz w:val="18"/>
          <w:szCs w:val="18"/>
        </w:rPr>
        <w:t xml:space="preserve">C4–5 / L2 – Category II (Medium)   </w:t>
      </w:r>
      <w:r>
        <w:rPr>
          <w:rFonts w:ascii="Calibri" w:cs="Calibri" w:eastAsia="Calibri" w:hAnsi="Calibri"/>
          <w:b/>
          <w:bCs/>
          <w:sz w:val="18"/>
          <w:szCs w:val="18"/>
        </w:rPr>
        <w:t xml:space="preserve">Residual Risk (with barriers applied): </w:t>
      </w:r>
      <w:r>
        <w:rPr>
          <w:rFonts w:ascii="Calibri" w:cs="Calibri" w:eastAsia="Calibri" w:hAnsi="Calibri"/>
          <w:sz w:val="18"/>
          <w:szCs w:val="18"/>
        </w:rPr>
        <w:t xml:space="preserve">C2 / L2 – Category I (Low, ALARP)</w:t>
      </w:r>
    </w:p>
    <w:p>
      <w:pPr>
        <w:spacing w:after="90" w:before="260"/>
      </w:pPr>
      <w:r>
        <w:rPr>
          <w:rFonts w:ascii="Calibri" w:cs="Calibri" w:eastAsia="Calibri" w:hAnsi="Calibri"/>
          <w:b/>
          <w:bCs/>
          <w:color w:val="8B1E1E"/>
          <w:sz w:val="21"/>
          <w:szCs w:val="21"/>
        </w:rPr>
        <w:t xml:space="preserve">TE-4   </w:t>
      </w:r>
      <w:r>
        <w:rPr>
          <w:rFonts w:ascii="Calibri" w:cs="Calibri" w:eastAsia="Calibri" w:hAnsi="Calibri"/>
          <w:b/>
          <w:bCs/>
          <w:color w:val="1F3864"/>
          <w:sz w:val="21"/>
          <w:szCs w:val="21"/>
        </w:rPr>
        <w:t xml:space="preserve">Diesel Spill during Refuelling of Plant &amp; Equipment</w:t>
      </w:r>
    </w:p>
    <w:p>
      <w:pPr>
        <w:spacing w:after="130" w:line="258"/>
      </w:pPr>
      <w:r>
        <w:rPr>
          <w:rFonts w:ascii="Calibri" w:cs="Calibri" w:eastAsia="Calibri" w:hAnsi="Calibri"/>
          <w:i/>
          <w:iCs/>
          <w:color w:val="595959"/>
          <w:sz w:val="18"/>
          <w:szCs w:val="18"/>
        </w:rPr>
        <w:t xml:space="preserve">Fuel spillage during refuelling of generators, pumps, forklifts or other diesel-powered plant on site.</w:t>
      </w:r>
    </w:p>
    <w:tbl>
      <w:tblPr>
        <w:tblW w:type="dxa" w:w="13500"/>
        <w:tblBorders>
          <w:top w:val="single" w:color="auto" w:sz="4"/>
          <w:left w:val="single" w:color="auto" w:sz="4"/>
          <w:bottom w:val="single" w:color="auto" w:sz="4"/>
          <w:right w:val="single" w:color="auto" w:sz="4"/>
          <w:insideH w:val="single" w:color="auto" w:sz="4"/>
          <w:insideV w:val="single" w:color="auto" w:sz="4"/>
        </w:tblBorders>
      </w:tblPr>
      <w:tblGrid>
        <w:gridCol w:w="2900"/>
        <w:gridCol w:w="3100"/>
        <w:gridCol w:w="1500"/>
        <w:gridCol w:w="3100"/>
        <w:gridCol w:w="2900"/>
      </w:tblGrid>
      <w:tr>
        <w:trPr>
          <w:tblHeader/>
        </w:trPr>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THREATS / CAUSES</w:t>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PREVENTIVE BARRIERS</w:t>
            </w:r>
          </w:p>
        </w:tc>
        <w:tc>
          <w:tcPr>
            <w:tcW w:type="dxa" w:w="1500"/>
            <w:shd w:fill="8B1E1E"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MITIGATIVE / RECOVERY BARRIERS</w:t>
            </w:r>
          </w:p>
        </w:tc>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CONSEQUENCES</w:t>
            </w:r>
          </w:p>
        </w:tc>
      </w:tr>
      <w:tr>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Hose or coupling failure during transfer</w:t>
            </w:r>
          </w:p>
          <w:p>
            <w:pPr>
              <w:pStyle w:val="ListParagraph"/>
              <w:numPr>
                <w:ilvl w:val="0"/>
                <w:numId w:val="2"/>
              </w:numPr>
              <w:spacing w:after="70" w:line="250"/>
            </w:pPr>
            <w:r>
              <w:rPr>
                <w:rFonts w:ascii="Calibri" w:cs="Calibri" w:eastAsia="Calibri" w:hAnsi="Calibri"/>
                <w:sz w:val="17"/>
                <w:szCs w:val="17"/>
              </w:rPr>
              <w:t xml:space="preserve">Overfill from unattended or unmonitored filling</w:t>
            </w:r>
          </w:p>
          <w:p>
            <w:pPr>
              <w:pStyle w:val="ListParagraph"/>
              <w:numPr>
                <w:ilvl w:val="0"/>
                <w:numId w:val="2"/>
              </w:numPr>
              <w:spacing w:after="70" w:line="250"/>
            </w:pPr>
            <w:r>
              <w:rPr>
                <w:rFonts w:ascii="Calibri" w:cs="Calibri" w:eastAsia="Calibri" w:hAnsi="Calibri"/>
                <w:sz w:val="17"/>
                <w:szCs w:val="17"/>
              </w:rPr>
              <w:t xml:space="preserve">Incorrect fuel filling point identified</w:t>
            </w:r>
          </w:p>
          <w:p>
            <w:pPr>
              <w:pStyle w:val="ListParagraph"/>
              <w:numPr>
                <w:ilvl w:val="0"/>
                <w:numId w:val="2"/>
              </w:numPr>
              <w:spacing w:after="0" w:line="250"/>
            </w:pPr>
            <w:r>
              <w:rPr>
                <w:rFonts w:ascii="Calibri" w:cs="Calibri" w:eastAsia="Calibri" w:hAnsi="Calibri"/>
                <w:sz w:val="17"/>
                <w:szCs w:val="17"/>
              </w:rPr>
              <w:t xml:space="preserve">Hose/equipment in poor condition prior to use</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Toolbox talk conducted before start; supervisor confirms equipment to be filled</w:t>
            </w:r>
          </w:p>
          <w:p>
            <w:pPr>
              <w:pStyle w:val="ListParagraph"/>
              <w:numPr>
                <w:ilvl w:val="0"/>
                <w:numId w:val="2"/>
              </w:numPr>
              <w:spacing w:after="70" w:line="250"/>
            </w:pPr>
            <w:r>
              <w:rPr>
                <w:rFonts w:ascii="Calibri" w:cs="Calibri" w:eastAsia="Calibri" w:hAnsi="Calibri"/>
                <w:sz w:val="17"/>
                <w:szCs w:val="17"/>
              </w:rPr>
              <w:t xml:space="preserve">Correct fuel filling point identified before starting</w:t>
            </w:r>
          </w:p>
          <w:p>
            <w:pPr>
              <w:pStyle w:val="ListParagraph"/>
              <w:numPr>
                <w:ilvl w:val="0"/>
                <w:numId w:val="2"/>
              </w:numPr>
              <w:spacing w:after="70" w:line="250"/>
            </w:pPr>
            <w:r>
              <w:rPr>
                <w:rFonts w:ascii="Calibri" w:cs="Calibri" w:eastAsia="Calibri" w:hAnsi="Calibri"/>
                <w:sz w:val="17"/>
                <w:szCs w:val="17"/>
              </w:rPr>
              <w:t xml:space="preserve">Spill tray placed locally to collect any drips</w:t>
            </w:r>
          </w:p>
          <w:p>
            <w:pPr>
              <w:pStyle w:val="ListParagraph"/>
              <w:numPr>
                <w:ilvl w:val="0"/>
                <w:numId w:val="2"/>
              </w:numPr>
              <w:spacing w:after="70" w:line="250"/>
            </w:pPr>
            <w:r>
              <w:rPr>
                <w:rFonts w:ascii="Calibri" w:cs="Calibri" w:eastAsia="Calibri" w:hAnsi="Calibri"/>
                <w:sz w:val="17"/>
                <w:szCs w:val="17"/>
              </w:rPr>
              <w:t xml:space="preserve">Spill kit confirmed at hand at the point of filling</w:t>
            </w:r>
          </w:p>
          <w:p>
            <w:pPr>
              <w:pStyle w:val="ListParagraph"/>
              <w:numPr>
                <w:ilvl w:val="0"/>
                <w:numId w:val="2"/>
              </w:numPr>
              <w:spacing w:after="70" w:line="250"/>
            </w:pPr>
            <w:r>
              <w:rPr>
                <w:rFonts w:ascii="Calibri" w:cs="Calibri" w:eastAsia="Calibri" w:hAnsi="Calibri"/>
                <w:sz w:val="17"/>
                <w:szCs w:val="17"/>
              </w:rPr>
              <w:t xml:space="preserve">Hose and equipment condition checked prior to filling</w:t>
            </w:r>
          </w:p>
          <w:p>
            <w:pPr>
              <w:pStyle w:val="ListParagraph"/>
              <w:numPr>
                <w:ilvl w:val="0"/>
                <w:numId w:val="2"/>
              </w:numPr>
              <w:spacing w:after="70" w:line="250"/>
            </w:pPr>
            <w:r>
              <w:rPr>
                <w:rFonts w:ascii="Calibri" w:cs="Calibri" w:eastAsia="Calibri" w:hAnsi="Calibri"/>
                <w:sz w:val="17"/>
                <w:szCs w:val="17"/>
              </w:rPr>
              <w:t xml:space="preserve">Filling monitored continuously – never left unattended</w:t>
            </w:r>
          </w:p>
          <w:p>
            <w:pPr>
              <w:pStyle w:val="ListParagraph"/>
              <w:numPr>
                <w:ilvl w:val="0"/>
                <w:numId w:val="2"/>
              </w:numPr>
              <w:spacing w:after="0" w:line="250"/>
            </w:pPr>
            <w:r>
              <w:rPr>
                <w:rFonts w:ascii="Calibri" w:cs="Calibri" w:eastAsia="Calibri" w:hAnsi="Calibri"/>
                <w:sz w:val="17"/>
                <w:szCs w:val="17"/>
              </w:rPr>
              <w:t xml:space="preserve">Cordon placed across any hose run presenting a trip/vehicle-impact hazard</w:t>
            </w:r>
          </w:p>
        </w:tc>
        <w:tc>
          <w:tcPr>
            <w:tcW w:type="dxa" w:w="1500"/>
            <w:shd w:fill="8B1E1E" w:val="clear"/>
            <w:tcMar>
              <w:top w:type="dxa" w:w="120"/>
              <w:left w:type="dxa" w:w="90"/>
              <w:bottom w:type="dxa" w:w="120"/>
              <w:right w:type="dxa" w:w="90"/>
            </w:tcMar>
            <w:vAlign w:val="center"/>
          </w:tcPr>
          <w:p>
            <w:pPr>
              <w:jc w:val="center"/>
            </w:pPr>
            <w:r>
              <w:rPr>
                <w:rFonts w:ascii="Calibri" w:cs="Calibri" w:eastAsia="Calibri" w:hAnsi="Calibri"/>
                <w:b/>
                <w:bCs/>
                <w:color w:val="FFFFFF"/>
                <w:sz w:val="15"/>
                <w:szCs w:val="15"/>
              </w:rPr>
              <w:t xml:space="preserve">TOP EVENT</w:t>
            </w:r>
          </w:p>
          <w:p>
            <w:pPr>
              <w:spacing w:before="60"/>
              <w:jc w:val="center"/>
            </w:pPr>
            <w:r>
              <w:rPr>
                <w:rFonts w:ascii="Calibri" w:cs="Calibri" w:eastAsia="Calibri" w:hAnsi="Calibri"/>
                <w:b/>
                <w:bCs/>
                <w:color w:val="FFFFFF"/>
                <w:sz w:val="17"/>
                <w:szCs w:val="17"/>
              </w:rPr>
              <w:t xml:space="preserve">Diesel Spill during Refuelling of Plant &amp; Equipment</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Spill kit deployed immediately to absorb any release</w:t>
            </w:r>
          </w:p>
          <w:p>
            <w:pPr>
              <w:pStyle w:val="ListParagraph"/>
              <w:numPr>
                <w:ilvl w:val="0"/>
                <w:numId w:val="2"/>
              </w:numPr>
              <w:spacing w:after="70" w:line="250"/>
            </w:pPr>
            <w:r>
              <w:rPr>
                <w:rFonts w:ascii="Calibri" w:cs="Calibri" w:eastAsia="Calibri" w:hAnsi="Calibri"/>
                <w:sz w:val="17"/>
                <w:szCs w:val="17"/>
              </w:rPr>
              <w:t xml:space="preserve">Bio-surfactant available for residual product breakdown</w:t>
            </w:r>
          </w:p>
          <w:p>
            <w:pPr>
              <w:pStyle w:val="ListParagraph"/>
              <w:numPr>
                <w:ilvl w:val="0"/>
                <w:numId w:val="2"/>
              </w:numPr>
              <w:spacing w:after="0" w:line="250"/>
            </w:pPr>
            <w:r>
              <w:rPr>
                <w:rFonts w:ascii="Calibri" w:cs="Calibri" w:eastAsia="Calibri" w:hAnsi="Calibri"/>
                <w:sz w:val="17"/>
                <w:szCs w:val="17"/>
              </w:rPr>
              <w:t xml:space="preserve">Contaminated soil/absorbents collected and contained per WMP</w:t>
            </w:r>
          </w:p>
        </w:tc>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Environment (E): localised soil contamination</w:t>
            </w:r>
          </w:p>
          <w:p>
            <w:pPr>
              <w:pStyle w:val="ListParagraph"/>
              <w:numPr>
                <w:ilvl w:val="0"/>
                <w:numId w:val="2"/>
              </w:numPr>
              <w:spacing w:after="0" w:line="250"/>
            </w:pPr>
            <w:r>
              <w:rPr>
                <w:rFonts w:ascii="Calibri" w:cs="Calibri" w:eastAsia="Calibri" w:hAnsi="Calibri"/>
                <w:sz w:val="17"/>
                <w:szCs w:val="17"/>
              </w:rPr>
              <w:t xml:space="preserve">Assets (A): damage to plant/equipment</w:t>
            </w:r>
          </w:p>
        </w:tc>
      </w:tr>
    </w:tbl>
    <w:p>
      <w:pPr>
        <w:spacing w:after="100"/>
      </w:pPr>
    </w:p>
    <w:p>
      <w:pPr>
        <w:spacing w:after="260" w:before="100"/>
      </w:pPr>
      <w:r>
        <w:rPr>
          <w:rFonts w:ascii="Calibri" w:cs="Calibri" w:eastAsia="Calibri" w:hAnsi="Calibri"/>
          <w:b/>
          <w:bCs/>
          <w:sz w:val="18"/>
          <w:szCs w:val="18"/>
        </w:rPr>
        <w:t xml:space="preserve">Initial Risk (pre-mitigation barriers): </w:t>
      </w:r>
      <w:r>
        <w:rPr>
          <w:rFonts w:ascii="Calibri" w:cs="Calibri" w:eastAsia="Calibri" w:hAnsi="Calibri"/>
          <w:sz w:val="18"/>
          <w:szCs w:val="18"/>
        </w:rPr>
        <w:t xml:space="preserve">C5 / L2 – Category II (Medium)   </w:t>
      </w:r>
      <w:r>
        <w:rPr>
          <w:rFonts w:ascii="Calibri" w:cs="Calibri" w:eastAsia="Calibri" w:hAnsi="Calibri"/>
          <w:b/>
          <w:bCs/>
          <w:sz w:val="18"/>
          <w:szCs w:val="18"/>
        </w:rPr>
        <w:t xml:space="preserve">Residual Risk (with barriers applied): </w:t>
      </w:r>
      <w:r>
        <w:rPr>
          <w:rFonts w:ascii="Calibri" w:cs="Calibri" w:eastAsia="Calibri" w:hAnsi="Calibri"/>
          <w:sz w:val="18"/>
          <w:szCs w:val="18"/>
        </w:rPr>
        <w:t xml:space="preserve">C3 / L2 – Category II (Medium, ALARP)</w:t>
      </w:r>
    </w:p>
    <w:p>
      <w:pPr>
        <w:spacing w:after="90" w:before="260"/>
      </w:pPr>
      <w:r>
        <w:rPr>
          <w:rFonts w:ascii="Calibri" w:cs="Calibri" w:eastAsia="Calibri" w:hAnsi="Calibri"/>
          <w:b/>
          <w:bCs/>
          <w:color w:val="8B1E1E"/>
          <w:sz w:val="21"/>
          <w:szCs w:val="21"/>
        </w:rPr>
        <w:t xml:space="preserve">TE-5   </w:t>
      </w:r>
      <w:r>
        <w:rPr>
          <w:rFonts w:ascii="Calibri" w:cs="Calibri" w:eastAsia="Calibri" w:hAnsi="Calibri"/>
          <w:b/>
          <w:bCs/>
          <w:color w:val="1F3864"/>
          <w:sz w:val="21"/>
          <w:szCs w:val="21"/>
        </w:rPr>
        <w:t xml:space="preserve">Chemical / Detergent Spill during Handling &amp; Transfer</w:t>
      </w:r>
    </w:p>
    <w:p>
      <w:pPr>
        <w:spacing w:after="130" w:line="258"/>
      </w:pPr>
      <w:r>
        <w:rPr>
          <w:rFonts w:ascii="Calibri" w:cs="Calibri" w:eastAsia="Calibri" w:hAnsi="Calibri"/>
          <w:i/>
          <w:iCs/>
          <w:color w:val="595959"/>
          <w:sz w:val="18"/>
          <w:szCs w:val="18"/>
        </w:rPr>
        <w:t xml:space="preserve">Spill or splash of tank-cleaning chemicals, detergents or degreasing agents during drum-to-tank transfer or routine handling.</w:t>
      </w:r>
    </w:p>
    <w:tbl>
      <w:tblPr>
        <w:tblW w:type="dxa" w:w="13500"/>
        <w:tblBorders>
          <w:top w:val="single" w:color="auto" w:sz="4"/>
          <w:left w:val="single" w:color="auto" w:sz="4"/>
          <w:bottom w:val="single" w:color="auto" w:sz="4"/>
          <w:right w:val="single" w:color="auto" w:sz="4"/>
          <w:insideH w:val="single" w:color="auto" w:sz="4"/>
          <w:insideV w:val="single" w:color="auto" w:sz="4"/>
        </w:tblBorders>
      </w:tblPr>
      <w:tblGrid>
        <w:gridCol w:w="2900"/>
        <w:gridCol w:w="3100"/>
        <w:gridCol w:w="1500"/>
        <w:gridCol w:w="3100"/>
        <w:gridCol w:w="2900"/>
      </w:tblGrid>
      <w:tr>
        <w:trPr>
          <w:tblHeader/>
        </w:trPr>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THREATS / CAUSES</w:t>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PREVENTIVE BARRIERS</w:t>
            </w:r>
          </w:p>
        </w:tc>
        <w:tc>
          <w:tcPr>
            <w:tcW w:type="dxa" w:w="1500"/>
            <w:shd w:fill="8B1E1E"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MITIGATIVE / RECOVERY BARRIERS</w:t>
            </w:r>
          </w:p>
        </w:tc>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CONSEQUENCES</w:t>
            </w:r>
          </w:p>
        </w:tc>
      </w:tr>
      <w:tr>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Drum or container failure during pouring</w:t>
            </w:r>
          </w:p>
          <w:p>
            <w:pPr>
              <w:pStyle w:val="ListParagraph"/>
              <w:numPr>
                <w:ilvl w:val="0"/>
                <w:numId w:val="2"/>
              </w:numPr>
              <w:spacing w:after="70" w:line="250"/>
            </w:pPr>
            <w:r>
              <w:rPr>
                <w:rFonts w:ascii="Calibri" w:cs="Calibri" w:eastAsia="Calibri" w:hAnsi="Calibri"/>
                <w:sz w:val="17"/>
                <w:szCs w:val="17"/>
              </w:rPr>
              <w:t xml:space="preserve">Incorrect handling / decanting procedure</w:t>
            </w:r>
          </w:p>
          <w:p>
            <w:pPr>
              <w:pStyle w:val="ListParagraph"/>
              <w:numPr>
                <w:ilvl w:val="0"/>
                <w:numId w:val="2"/>
              </w:numPr>
              <w:spacing w:after="0" w:line="250"/>
            </w:pPr>
            <w:r>
              <w:rPr>
                <w:rFonts w:ascii="Calibri" w:cs="Calibri" w:eastAsia="Calibri" w:hAnsi="Calibri"/>
                <w:sz w:val="17"/>
                <w:szCs w:val="17"/>
              </w:rPr>
              <w:t xml:space="preserve">Incompatible chemical mixing</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Chemicals stored and handled on spill pallets</w:t>
            </w:r>
          </w:p>
          <w:p>
            <w:pPr>
              <w:pStyle w:val="ListParagraph"/>
              <w:numPr>
                <w:ilvl w:val="0"/>
                <w:numId w:val="2"/>
              </w:numPr>
              <w:spacing w:after="70" w:line="250"/>
            </w:pPr>
            <w:r>
              <w:rPr>
                <w:rFonts w:ascii="Calibri" w:cs="Calibri" w:eastAsia="Calibri" w:hAnsi="Calibri"/>
                <w:sz w:val="17"/>
                <w:szCs w:val="17"/>
              </w:rPr>
              <w:t xml:space="preserve">Chemical Spill Kit held at chemical storage/use area</w:t>
            </w:r>
          </w:p>
          <w:p>
            <w:pPr>
              <w:pStyle w:val="ListParagraph"/>
              <w:numPr>
                <w:ilvl w:val="0"/>
                <w:numId w:val="2"/>
              </w:numPr>
              <w:spacing w:after="70" w:line="250"/>
            </w:pPr>
            <w:r>
              <w:rPr>
                <w:rFonts w:ascii="Calibri" w:cs="Calibri" w:eastAsia="Calibri" w:hAnsi="Calibri"/>
                <w:sz w:val="17"/>
                <w:szCs w:val="17"/>
              </w:rPr>
              <w:t xml:space="preserve">SDS available for all chemicals on-site</w:t>
            </w:r>
          </w:p>
          <w:p>
            <w:pPr>
              <w:pStyle w:val="ListParagraph"/>
              <w:numPr>
                <w:ilvl w:val="0"/>
                <w:numId w:val="2"/>
              </w:numPr>
              <w:spacing w:after="70" w:line="250"/>
            </w:pPr>
            <w:r>
              <w:rPr>
                <w:rFonts w:ascii="Calibri" w:cs="Calibri" w:eastAsia="Calibri" w:hAnsi="Calibri"/>
                <w:sz w:val="17"/>
                <w:szCs w:val="17"/>
              </w:rPr>
              <w:t xml:space="preserve">PPE worn for routine work: gloves, coveralls, safety glasses</w:t>
            </w:r>
          </w:p>
          <w:p>
            <w:pPr>
              <w:pStyle w:val="ListParagraph"/>
              <w:numPr>
                <w:ilvl w:val="0"/>
                <w:numId w:val="2"/>
              </w:numPr>
              <w:spacing w:after="0" w:line="250"/>
            </w:pPr>
            <w:r>
              <w:rPr>
                <w:rFonts w:ascii="Calibri" w:cs="Calibri" w:eastAsia="Calibri" w:hAnsi="Calibri"/>
                <w:sz w:val="17"/>
                <w:szCs w:val="17"/>
              </w:rPr>
              <w:t xml:space="preserve">Cartridge filter respirator used when pouring chemical from drum to tank</w:t>
            </w:r>
          </w:p>
        </w:tc>
        <w:tc>
          <w:tcPr>
            <w:tcW w:type="dxa" w:w="1500"/>
            <w:shd w:fill="8B1E1E" w:val="clear"/>
            <w:tcMar>
              <w:top w:type="dxa" w:w="120"/>
              <w:left w:type="dxa" w:w="90"/>
              <w:bottom w:type="dxa" w:w="120"/>
              <w:right w:type="dxa" w:w="90"/>
            </w:tcMar>
            <w:vAlign w:val="center"/>
          </w:tcPr>
          <w:p>
            <w:pPr>
              <w:jc w:val="center"/>
            </w:pPr>
            <w:r>
              <w:rPr>
                <w:rFonts w:ascii="Calibri" w:cs="Calibri" w:eastAsia="Calibri" w:hAnsi="Calibri"/>
                <w:b/>
                <w:bCs/>
                <w:color w:val="FFFFFF"/>
                <w:sz w:val="15"/>
                <w:szCs w:val="15"/>
              </w:rPr>
              <w:t xml:space="preserve">TOP EVENT</w:t>
            </w:r>
          </w:p>
          <w:p>
            <w:pPr>
              <w:spacing w:before="60"/>
              <w:jc w:val="center"/>
            </w:pPr>
            <w:r>
              <w:rPr>
                <w:rFonts w:ascii="Calibri" w:cs="Calibri" w:eastAsia="Calibri" w:hAnsi="Calibri"/>
                <w:b/>
                <w:bCs/>
                <w:color w:val="FFFFFF"/>
                <w:sz w:val="17"/>
                <w:szCs w:val="17"/>
              </w:rPr>
              <w:t xml:space="preserve">Chemical / Detergent Spill during Handling &amp; Transfer</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Chemical Spill Kit deployed to contain and neutralise release</w:t>
            </w:r>
          </w:p>
          <w:p>
            <w:pPr>
              <w:pStyle w:val="ListParagraph"/>
              <w:numPr>
                <w:ilvl w:val="0"/>
                <w:numId w:val="2"/>
              </w:numPr>
              <w:spacing w:after="0" w:line="250"/>
            </w:pPr>
            <w:r>
              <w:rPr>
                <w:rFonts w:ascii="Calibri" w:cs="Calibri" w:eastAsia="Calibri" w:hAnsi="Calibri"/>
                <w:sz w:val="17"/>
                <w:szCs w:val="17"/>
              </w:rPr>
              <w:t xml:space="preserve">Spill pallet contains drips/overflow at source</w:t>
            </w:r>
          </w:p>
        </w:tc>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Environment (E): soil/water contamination if uncontained</w:t>
            </w:r>
          </w:p>
          <w:p>
            <w:pPr>
              <w:pStyle w:val="ListParagraph"/>
              <w:numPr>
                <w:ilvl w:val="0"/>
                <w:numId w:val="2"/>
              </w:numPr>
              <w:spacing w:after="0" w:line="250"/>
            </w:pPr>
            <w:r>
              <w:rPr>
                <w:rFonts w:ascii="Calibri" w:cs="Calibri" w:eastAsia="Calibri" w:hAnsi="Calibri"/>
                <w:sz w:val="17"/>
                <w:szCs w:val="17"/>
              </w:rPr>
              <w:t xml:space="preserve">People (P): chemical exposure, skin/respiratory irritation</w:t>
            </w:r>
          </w:p>
        </w:tc>
      </w:tr>
    </w:tbl>
    <w:p>
      <w:pPr>
        <w:spacing w:after="100"/>
      </w:pPr>
    </w:p>
    <w:p>
      <w:pPr>
        <w:spacing w:after="260" w:before="100"/>
      </w:pPr>
      <w:r>
        <w:rPr>
          <w:rFonts w:ascii="Calibri" w:cs="Calibri" w:eastAsia="Calibri" w:hAnsi="Calibri"/>
          <w:b/>
          <w:bCs/>
          <w:sz w:val="18"/>
          <w:szCs w:val="18"/>
        </w:rPr>
        <w:t xml:space="preserve">Initial Risk (pre-mitigation barriers): </w:t>
      </w:r>
      <w:r>
        <w:rPr>
          <w:rFonts w:ascii="Calibri" w:cs="Calibri" w:eastAsia="Calibri" w:hAnsi="Calibri"/>
          <w:sz w:val="18"/>
          <w:szCs w:val="18"/>
        </w:rPr>
        <w:t xml:space="preserve">C3 / L1 – Category I (Low)   </w:t>
      </w:r>
      <w:r>
        <w:rPr>
          <w:rFonts w:ascii="Calibri" w:cs="Calibri" w:eastAsia="Calibri" w:hAnsi="Calibri"/>
          <w:b/>
          <w:bCs/>
          <w:sz w:val="18"/>
          <w:szCs w:val="18"/>
        </w:rPr>
        <w:t xml:space="preserve">Residual Risk (with barriers applied): </w:t>
      </w:r>
      <w:r>
        <w:rPr>
          <w:rFonts w:ascii="Calibri" w:cs="Calibri" w:eastAsia="Calibri" w:hAnsi="Calibri"/>
          <w:sz w:val="18"/>
          <w:szCs w:val="18"/>
        </w:rPr>
        <w:t xml:space="preserve">C3 / L1 – Category I (Low, ALARP)</w:t>
      </w:r>
    </w:p>
    <w:p>
      <w:pPr>
        <w:spacing w:after="90" w:before="260"/>
      </w:pPr>
      <w:r>
        <w:rPr>
          <w:rFonts w:ascii="Calibri" w:cs="Calibri" w:eastAsia="Calibri" w:hAnsi="Calibri"/>
          <w:b/>
          <w:bCs/>
          <w:color w:val="8B1E1E"/>
          <w:sz w:val="21"/>
          <w:szCs w:val="21"/>
        </w:rPr>
        <w:t xml:space="preserve">TE-6   </w:t>
      </w:r>
      <w:r>
        <w:rPr>
          <w:rFonts w:ascii="Calibri" w:cs="Calibri" w:eastAsia="Calibri" w:hAnsi="Calibri"/>
          <w:b/>
          <w:bCs/>
          <w:color w:val="1F3864"/>
          <w:sz w:val="21"/>
          <w:szCs w:val="21"/>
        </w:rPr>
        <w:t xml:space="preserve">Loss of Containment during Line Breaking / Flange (Spool Piece) Opening</w:t>
      </w:r>
    </w:p>
    <w:p>
      <w:pPr>
        <w:spacing w:after="130" w:line="258"/>
      </w:pPr>
      <w:r>
        <w:rPr>
          <w:rFonts w:ascii="Calibri" w:cs="Calibri" w:eastAsia="Calibri" w:hAnsi="Calibri"/>
          <w:i/>
          <w:iCs/>
          <w:color w:val="595959"/>
          <w:sz w:val="18"/>
          <w:szCs w:val="18"/>
        </w:rPr>
        <w:t xml:space="preserve">Residual product discharge when opening pipeline flanges or removing spool pieces for maintenance or waste transfer.</w:t>
      </w:r>
    </w:p>
    <w:tbl>
      <w:tblPr>
        <w:tblW w:type="dxa" w:w="13500"/>
        <w:tblBorders>
          <w:top w:val="single" w:color="auto" w:sz="4"/>
          <w:left w:val="single" w:color="auto" w:sz="4"/>
          <w:bottom w:val="single" w:color="auto" w:sz="4"/>
          <w:right w:val="single" w:color="auto" w:sz="4"/>
          <w:insideH w:val="single" w:color="auto" w:sz="4"/>
          <w:insideV w:val="single" w:color="auto" w:sz="4"/>
        </w:tblBorders>
      </w:tblPr>
      <w:tblGrid>
        <w:gridCol w:w="2900"/>
        <w:gridCol w:w="3100"/>
        <w:gridCol w:w="1500"/>
        <w:gridCol w:w="3100"/>
        <w:gridCol w:w="2900"/>
      </w:tblGrid>
      <w:tr>
        <w:trPr>
          <w:tblHeader/>
        </w:trPr>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THREATS / CAUSES</w:t>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PREVENTIVE BARRIERS</w:t>
            </w:r>
          </w:p>
        </w:tc>
        <w:tc>
          <w:tcPr>
            <w:tcW w:type="dxa" w:w="1500"/>
            <w:shd w:fill="8B1E1E"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MITIGATIVE / RECOVERY BARRIERS</w:t>
            </w:r>
          </w:p>
        </w:tc>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CONSEQUENCES</w:t>
            </w:r>
          </w:p>
        </w:tc>
      </w:tr>
      <w:tr>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Residual pressure or product remaining in the line</w:t>
            </w:r>
          </w:p>
          <w:p>
            <w:pPr>
              <w:pStyle w:val="ListParagraph"/>
              <w:numPr>
                <w:ilvl w:val="0"/>
                <w:numId w:val="2"/>
              </w:numPr>
              <w:spacing w:after="70" w:line="250"/>
            </w:pPr>
            <w:r>
              <w:rPr>
                <w:rFonts w:ascii="Calibri" w:cs="Calibri" w:eastAsia="Calibri" w:hAnsi="Calibri"/>
                <w:sz w:val="17"/>
                <w:szCs w:val="17"/>
              </w:rPr>
              <w:t xml:space="preserve">Incorrect or incomplete isolation (LOTO failure)</w:t>
            </w:r>
          </w:p>
          <w:p>
            <w:pPr>
              <w:pStyle w:val="ListParagraph"/>
              <w:numPr>
                <w:ilvl w:val="0"/>
                <w:numId w:val="2"/>
              </w:numPr>
              <w:spacing w:after="0" w:line="250"/>
            </w:pPr>
            <w:r>
              <w:rPr>
                <w:rFonts w:ascii="Calibri" w:cs="Calibri" w:eastAsia="Calibri" w:hAnsi="Calibri"/>
                <w:sz w:val="17"/>
                <w:szCs w:val="17"/>
              </w:rPr>
              <w:t xml:space="preserve">Uncontrolled rotation/cracking of the spool piece</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Line breaks on RAEC equipment carried out by RAEC personnel</w:t>
            </w:r>
          </w:p>
          <w:p>
            <w:pPr>
              <w:pStyle w:val="ListParagraph"/>
              <w:numPr>
                <w:ilvl w:val="0"/>
                <w:numId w:val="2"/>
              </w:numPr>
              <w:spacing w:after="70" w:line="250"/>
            </w:pPr>
            <w:r>
              <w:rPr>
                <w:rFonts w:ascii="Calibri" w:cs="Calibri" w:eastAsia="Calibri" w:hAnsi="Calibri"/>
                <w:sz w:val="17"/>
                <w:szCs w:val="17"/>
              </w:rPr>
              <w:t xml:space="preserve">Lock-Out/Tag-Out (LOTO) applied prior to line breaking; lines drained</w:t>
            </w:r>
          </w:p>
          <w:p>
            <w:pPr>
              <w:pStyle w:val="ListParagraph"/>
              <w:numPr>
                <w:ilvl w:val="0"/>
                <w:numId w:val="2"/>
              </w:numPr>
              <w:spacing w:after="70" w:line="250"/>
            </w:pPr>
            <w:r>
              <w:rPr>
                <w:rFonts w:ascii="Calibri" w:cs="Calibri" w:eastAsia="Calibri" w:hAnsi="Calibri"/>
                <w:sz w:val="17"/>
                <w:szCs w:val="17"/>
              </w:rPr>
              <w:t xml:space="preserve">Pressure gauge confirmed at zero before opening</w:t>
            </w:r>
          </w:p>
          <w:p>
            <w:pPr>
              <w:pStyle w:val="ListParagraph"/>
              <w:numPr>
                <w:ilvl w:val="0"/>
                <w:numId w:val="2"/>
              </w:numPr>
              <w:spacing w:after="70" w:line="250"/>
            </w:pPr>
            <w:r>
              <w:rPr>
                <w:rFonts w:ascii="Calibri" w:cs="Calibri" w:eastAsia="Calibri" w:hAnsi="Calibri"/>
                <w:sz w:val="17"/>
                <w:szCs w:val="17"/>
              </w:rPr>
              <w:t xml:space="preserve">Portable spill tray placed under the flange before opening/rotating spool</w:t>
            </w:r>
          </w:p>
          <w:p>
            <w:pPr>
              <w:pStyle w:val="ListParagraph"/>
              <w:numPr>
                <w:ilvl w:val="0"/>
                <w:numId w:val="2"/>
              </w:numPr>
              <w:spacing w:after="70" w:line="250"/>
            </w:pPr>
            <w:r>
              <w:rPr>
                <w:rFonts w:ascii="Calibri" w:cs="Calibri" w:eastAsia="Calibri" w:hAnsi="Calibri"/>
                <w:sz w:val="17"/>
                <w:szCs w:val="17"/>
              </w:rPr>
              <w:t xml:space="preserve">JSA and Work Permit completed; PPE (visor/goggles) worn</w:t>
            </w:r>
          </w:p>
          <w:p>
            <w:pPr>
              <w:pStyle w:val="ListParagraph"/>
              <w:numPr>
                <w:ilvl w:val="0"/>
                <w:numId w:val="2"/>
              </w:numPr>
              <w:spacing w:after="0" w:line="250"/>
            </w:pPr>
            <w:r>
              <w:rPr>
                <w:rFonts w:ascii="Calibri" w:cs="Calibri" w:eastAsia="Calibri" w:hAnsi="Calibri"/>
                <w:sz w:val="17"/>
                <w:szCs w:val="17"/>
              </w:rPr>
              <w:t xml:space="preserve">ADR Combination Unit provides bonded hosing/draindown support where required</w:t>
            </w:r>
          </w:p>
        </w:tc>
        <w:tc>
          <w:tcPr>
            <w:tcW w:type="dxa" w:w="1500"/>
            <w:shd w:fill="8B1E1E" w:val="clear"/>
            <w:tcMar>
              <w:top w:type="dxa" w:w="120"/>
              <w:left w:type="dxa" w:w="90"/>
              <w:bottom w:type="dxa" w:w="120"/>
              <w:right w:type="dxa" w:w="90"/>
            </w:tcMar>
            <w:vAlign w:val="center"/>
          </w:tcPr>
          <w:p>
            <w:pPr>
              <w:jc w:val="center"/>
            </w:pPr>
            <w:r>
              <w:rPr>
                <w:rFonts w:ascii="Calibri" w:cs="Calibri" w:eastAsia="Calibri" w:hAnsi="Calibri"/>
                <w:b/>
                <w:bCs/>
                <w:color w:val="FFFFFF"/>
                <w:sz w:val="15"/>
                <w:szCs w:val="15"/>
              </w:rPr>
              <w:t xml:space="preserve">TOP EVENT</w:t>
            </w:r>
          </w:p>
          <w:p>
            <w:pPr>
              <w:spacing w:before="60"/>
              <w:jc w:val="center"/>
            </w:pPr>
            <w:r>
              <w:rPr>
                <w:rFonts w:ascii="Calibri" w:cs="Calibri" w:eastAsia="Calibri" w:hAnsi="Calibri"/>
                <w:b/>
                <w:bCs/>
                <w:color w:val="FFFFFF"/>
                <w:sz w:val="17"/>
                <w:szCs w:val="17"/>
              </w:rPr>
              <w:t xml:space="preserve">Loss of Containment during Line Breaking / Flange (Spool Piece) Opening</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Continuous suction of the spill tray during the procedure via ADR Combination Unit</w:t>
            </w:r>
          </w:p>
          <w:p>
            <w:pPr>
              <w:pStyle w:val="ListParagraph"/>
              <w:numPr>
                <w:ilvl w:val="0"/>
                <w:numId w:val="2"/>
              </w:numPr>
              <w:spacing w:after="70" w:line="250"/>
            </w:pPr>
            <w:r>
              <w:rPr>
                <w:rFonts w:ascii="Calibri" w:cs="Calibri" w:eastAsia="Calibri" w:hAnsi="Calibri"/>
                <w:sz w:val="17"/>
                <w:szCs w:val="17"/>
              </w:rPr>
              <w:t xml:space="preserve">Spool cracked under controlled conditions to limit discharge volume</w:t>
            </w:r>
          </w:p>
          <w:p>
            <w:pPr>
              <w:pStyle w:val="ListParagraph"/>
              <w:numPr>
                <w:ilvl w:val="0"/>
                <w:numId w:val="2"/>
              </w:numPr>
              <w:spacing w:after="70" w:line="250"/>
            </w:pPr>
            <w:r>
              <w:rPr>
                <w:rFonts w:ascii="Calibri" w:cs="Calibri" w:eastAsia="Calibri" w:hAnsi="Calibri"/>
                <w:sz w:val="17"/>
                <w:szCs w:val="17"/>
              </w:rPr>
              <w:t xml:space="preserve">Valves closed and lines suctioned dry before hose disconnection</w:t>
            </w:r>
          </w:p>
          <w:p>
            <w:pPr>
              <w:pStyle w:val="ListParagraph"/>
              <w:numPr>
                <w:ilvl w:val="0"/>
                <w:numId w:val="2"/>
              </w:numPr>
              <w:spacing w:after="0" w:line="250"/>
            </w:pPr>
            <w:r>
              <w:rPr>
                <w:rFonts w:ascii="Calibri" w:cs="Calibri" w:eastAsia="Calibri" w:hAnsi="Calibri"/>
                <w:sz w:val="17"/>
                <w:szCs w:val="17"/>
              </w:rPr>
              <w:t xml:space="preserve">Recovered oil discharged only at a Renaissance-designated point</w:t>
            </w:r>
          </w:p>
        </w:tc>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Environment (E): localised soil/deck contamination</w:t>
            </w:r>
          </w:p>
          <w:p>
            <w:pPr>
              <w:pStyle w:val="ListParagraph"/>
              <w:numPr>
                <w:ilvl w:val="0"/>
                <w:numId w:val="2"/>
              </w:numPr>
              <w:spacing w:after="0" w:line="250"/>
            </w:pPr>
            <w:r>
              <w:rPr>
                <w:rFonts w:ascii="Calibri" w:cs="Calibri" w:eastAsia="Calibri" w:hAnsi="Calibri"/>
                <w:sz w:val="17"/>
                <w:szCs w:val="17"/>
              </w:rPr>
              <w:t xml:space="preserve">People (P): injury from residual product release or equipment damage</w:t>
            </w:r>
          </w:p>
        </w:tc>
      </w:tr>
    </w:tbl>
    <w:p>
      <w:pPr>
        <w:spacing w:after="100"/>
      </w:pPr>
    </w:p>
    <w:p>
      <w:pPr>
        <w:spacing w:after="260" w:before="100"/>
      </w:pPr>
      <w:r>
        <w:rPr>
          <w:rFonts w:ascii="Calibri" w:cs="Calibri" w:eastAsia="Calibri" w:hAnsi="Calibri"/>
          <w:b/>
          <w:bCs/>
          <w:sz w:val="18"/>
          <w:szCs w:val="18"/>
        </w:rPr>
        <w:t xml:space="preserve">Initial Risk (pre-mitigation barriers): </w:t>
      </w:r>
      <w:r>
        <w:rPr>
          <w:rFonts w:ascii="Calibri" w:cs="Calibri" w:eastAsia="Calibri" w:hAnsi="Calibri"/>
          <w:sz w:val="18"/>
          <w:szCs w:val="18"/>
        </w:rPr>
        <w:t xml:space="preserve">C3 / L4 – Category III (Significant)   </w:t>
      </w:r>
      <w:r>
        <w:rPr>
          <w:rFonts w:ascii="Calibri" w:cs="Calibri" w:eastAsia="Calibri" w:hAnsi="Calibri"/>
          <w:b/>
          <w:bCs/>
          <w:sz w:val="18"/>
          <w:szCs w:val="18"/>
        </w:rPr>
        <w:t xml:space="preserve">Residual Risk (with barriers applied): </w:t>
      </w:r>
      <w:r>
        <w:rPr>
          <w:rFonts w:ascii="Calibri" w:cs="Calibri" w:eastAsia="Calibri" w:hAnsi="Calibri"/>
          <w:sz w:val="18"/>
          <w:szCs w:val="18"/>
        </w:rPr>
        <w:t xml:space="preserve">C3 / L2 – Category II (Medium, ALARP)</w:t>
      </w:r>
    </w:p>
    <w:p>
      <w:pPr>
        <w:spacing w:after="90" w:before="260"/>
      </w:pPr>
      <w:r>
        <w:rPr>
          <w:rFonts w:ascii="Calibri" w:cs="Calibri" w:eastAsia="Calibri" w:hAnsi="Calibri"/>
          <w:b/>
          <w:bCs/>
          <w:color w:val="8B1E1E"/>
          <w:sz w:val="21"/>
          <w:szCs w:val="21"/>
        </w:rPr>
        <w:t xml:space="preserve">TE-7   </w:t>
      </w:r>
      <w:r>
        <w:rPr>
          <w:rFonts w:ascii="Calibri" w:cs="Calibri" w:eastAsia="Calibri" w:hAnsi="Calibri"/>
          <w:b/>
          <w:bCs/>
          <w:color w:val="1F3864"/>
          <w:sz w:val="21"/>
          <w:szCs w:val="21"/>
        </w:rPr>
        <w:t xml:space="preserve">Uncontrolled Discharge of Contaminated Wash / Rinse Water</w:t>
      </w:r>
    </w:p>
    <w:p>
      <w:pPr>
        <w:spacing w:after="130" w:line="258"/>
      </w:pPr>
      <w:r>
        <w:rPr>
          <w:rFonts w:ascii="Calibri" w:cs="Calibri" w:eastAsia="Calibri" w:hAnsi="Calibri"/>
          <w:i/>
          <w:iCs/>
          <w:color w:val="595959"/>
          <w:sz w:val="18"/>
          <w:szCs w:val="18"/>
        </w:rPr>
        <w:t xml:space="preserve">Discharge of tank wash/rinse water without adequate oil recovery or treatment, resulting in contaminated effluent leaving site.</w:t>
      </w:r>
    </w:p>
    <w:tbl>
      <w:tblPr>
        <w:tblW w:type="dxa" w:w="13500"/>
        <w:tblBorders>
          <w:top w:val="single" w:color="auto" w:sz="4"/>
          <w:left w:val="single" w:color="auto" w:sz="4"/>
          <w:bottom w:val="single" w:color="auto" w:sz="4"/>
          <w:right w:val="single" w:color="auto" w:sz="4"/>
          <w:insideH w:val="single" w:color="auto" w:sz="4"/>
          <w:insideV w:val="single" w:color="auto" w:sz="4"/>
        </w:tblBorders>
      </w:tblPr>
      <w:tblGrid>
        <w:gridCol w:w="2900"/>
        <w:gridCol w:w="3100"/>
        <w:gridCol w:w="1500"/>
        <w:gridCol w:w="3100"/>
        <w:gridCol w:w="2900"/>
      </w:tblGrid>
      <w:tr>
        <w:trPr>
          <w:tblHeader/>
        </w:trPr>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THREATS / CAUSES</w:t>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PREVENTIVE BARRIERS</w:t>
            </w:r>
          </w:p>
        </w:tc>
        <w:tc>
          <w:tcPr>
            <w:tcW w:type="dxa" w:w="1500"/>
            <w:shd w:fill="8B1E1E"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MITIGATIVE / RECOVERY BARRIERS</w:t>
            </w:r>
          </w:p>
        </w:tc>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CONSEQUENCES</w:t>
            </w:r>
          </w:p>
        </w:tc>
      </w:tr>
      <w:tr>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Bypass or malfunction of the Skimming Module (M4) oil-recovery system</w:t>
            </w:r>
          </w:p>
          <w:p>
            <w:pPr>
              <w:pStyle w:val="ListParagraph"/>
              <w:numPr>
                <w:ilvl w:val="0"/>
                <w:numId w:val="2"/>
              </w:numPr>
              <w:spacing w:after="70" w:line="250"/>
            </w:pPr>
            <w:r>
              <w:rPr>
                <w:rFonts w:ascii="Calibri" w:cs="Calibri" w:eastAsia="Calibri" w:hAnsi="Calibri"/>
                <w:sz w:val="17"/>
                <w:szCs w:val="17"/>
              </w:rPr>
              <w:t xml:space="preserve">Decantation proving ineffective for the water/sludge mixture</w:t>
            </w:r>
          </w:p>
          <w:p>
            <w:pPr>
              <w:pStyle w:val="ListParagraph"/>
              <w:numPr>
                <w:ilvl w:val="0"/>
                <w:numId w:val="2"/>
              </w:numPr>
              <w:spacing w:after="0" w:line="250"/>
            </w:pPr>
            <w:r>
              <w:rPr>
                <w:rFonts w:ascii="Calibri" w:cs="Calibri" w:eastAsia="Calibri" w:hAnsi="Calibri"/>
                <w:sz w:val="17"/>
                <w:szCs w:val="17"/>
              </w:rPr>
              <w:t xml:space="preserve">Discharge routed without adequate on-site treatment</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Rinse water routed through Recirculation Module (M3) and spray nozzles</w:t>
            </w:r>
          </w:p>
          <w:p>
            <w:pPr>
              <w:pStyle w:val="ListParagraph"/>
              <w:numPr>
                <w:ilvl w:val="0"/>
                <w:numId w:val="2"/>
              </w:numPr>
              <w:spacing w:after="70" w:line="250"/>
            </w:pPr>
            <w:r>
              <w:rPr>
                <w:rFonts w:ascii="Calibri" w:cs="Calibri" w:eastAsia="Calibri" w:hAnsi="Calibri"/>
                <w:sz w:val="17"/>
                <w:szCs w:val="17"/>
              </w:rPr>
              <w:t xml:space="preserve">Oil recovered via the Skimming Module (M4) before water is released</w:t>
            </w:r>
          </w:p>
          <w:p>
            <w:pPr>
              <w:pStyle w:val="ListParagraph"/>
              <w:numPr>
                <w:ilvl w:val="0"/>
                <w:numId w:val="2"/>
              </w:numPr>
              <w:spacing w:after="70" w:line="250"/>
            </w:pPr>
            <w:r>
              <w:rPr>
                <w:rFonts w:ascii="Calibri" w:cs="Calibri" w:eastAsia="Calibri" w:hAnsi="Calibri"/>
                <w:sz w:val="17"/>
                <w:szCs w:val="17"/>
              </w:rPr>
              <w:t xml:space="preserve">Wash water treated on-site and disposed of only at Client-designated facility/WWTP</w:t>
            </w:r>
          </w:p>
          <w:p>
            <w:pPr>
              <w:pStyle w:val="ListParagraph"/>
              <w:numPr>
                <w:ilvl w:val="0"/>
                <w:numId w:val="2"/>
              </w:numPr>
              <w:spacing w:after="0" w:line="250"/>
            </w:pPr>
            <w:r>
              <w:rPr>
                <w:rFonts w:ascii="Calibri" w:cs="Calibri" w:eastAsia="Calibri" w:hAnsi="Calibri"/>
                <w:sz w:val="17"/>
                <w:szCs w:val="17"/>
              </w:rPr>
              <w:t xml:space="preserve">Subcontractor treatment/disposal methods evaluated for conformance with NUPRC and FEPA/NESREA regulations</w:t>
            </w:r>
          </w:p>
        </w:tc>
        <w:tc>
          <w:tcPr>
            <w:tcW w:type="dxa" w:w="1500"/>
            <w:shd w:fill="8B1E1E" w:val="clear"/>
            <w:tcMar>
              <w:top w:type="dxa" w:w="120"/>
              <w:left w:type="dxa" w:w="90"/>
              <w:bottom w:type="dxa" w:w="120"/>
              <w:right w:type="dxa" w:w="90"/>
            </w:tcMar>
            <w:vAlign w:val="center"/>
          </w:tcPr>
          <w:p>
            <w:pPr>
              <w:jc w:val="center"/>
            </w:pPr>
            <w:r>
              <w:rPr>
                <w:rFonts w:ascii="Calibri" w:cs="Calibri" w:eastAsia="Calibri" w:hAnsi="Calibri"/>
                <w:b/>
                <w:bCs/>
                <w:color w:val="FFFFFF"/>
                <w:sz w:val="15"/>
                <w:szCs w:val="15"/>
              </w:rPr>
              <w:t xml:space="preserve">TOP EVENT</w:t>
            </w:r>
          </w:p>
          <w:p>
            <w:pPr>
              <w:spacing w:before="60"/>
              <w:jc w:val="center"/>
            </w:pPr>
            <w:r>
              <w:rPr>
                <w:rFonts w:ascii="Calibri" w:cs="Calibri" w:eastAsia="Calibri" w:hAnsi="Calibri"/>
                <w:b/>
                <w:bCs/>
                <w:color w:val="FFFFFF"/>
                <w:sz w:val="17"/>
                <w:szCs w:val="17"/>
              </w:rPr>
              <w:t xml:space="preserve">Uncontrolled Discharge of Contaminated Wash / Rinse Water</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Where decantation is ineffective, water is treated as slurry sludge and transported to a licensed Waste Contractor’s yard for treatment, recycling or disposal</w:t>
            </w:r>
          </w:p>
          <w:p>
            <w:pPr>
              <w:pStyle w:val="ListParagraph"/>
              <w:numPr>
                <w:ilvl w:val="0"/>
                <w:numId w:val="2"/>
              </w:numPr>
              <w:spacing w:after="0" w:line="250"/>
            </w:pPr>
            <w:r>
              <w:rPr>
                <w:rFonts w:ascii="Calibri" w:cs="Calibri" w:eastAsia="Calibri" w:hAnsi="Calibri"/>
                <w:sz w:val="17"/>
                <w:szCs w:val="17"/>
              </w:rPr>
              <w:t xml:space="preserve">Waste tracked via NUPRC-approved manifest</w:t>
            </w:r>
          </w:p>
        </w:tc>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Environment (E): water pollution of receiving watercourse or treatment plant if discharged untreated</w:t>
            </w:r>
          </w:p>
          <w:p>
            <w:pPr>
              <w:pStyle w:val="ListParagraph"/>
              <w:numPr>
                <w:ilvl w:val="0"/>
                <w:numId w:val="2"/>
              </w:numPr>
              <w:spacing w:after="0" w:line="250"/>
            </w:pPr>
            <w:r>
              <w:rPr>
                <w:rFonts w:ascii="Calibri" w:cs="Calibri" w:eastAsia="Calibri" w:hAnsi="Calibri"/>
                <w:sz w:val="17"/>
                <w:szCs w:val="17"/>
              </w:rPr>
              <w:t xml:space="preserve">Reputation (R): breach of Client/regulatory discharge requirements</w:t>
            </w:r>
          </w:p>
        </w:tc>
      </w:tr>
    </w:tbl>
    <w:p>
      <w:pPr>
        <w:spacing w:after="100" w:line="258"/>
      </w:pPr>
      <w:r>
        <w:rPr>
          <w:rFonts w:ascii="Calibri" w:cs="Calibri" w:eastAsia="Calibri" w:hAnsi="Calibri"/>
          <w:b/>
          <w:bCs/>
          <w:color w:val="9C5700"/>
          <w:sz w:val="18"/>
          <w:szCs w:val="18"/>
        </w:rPr>
        <w:t xml:space="preserve">Escalation Factor: </w:t>
      </w:r>
      <w:r>
        <w:rPr>
          <w:rFonts w:ascii="Calibri" w:cs="Calibri" w:eastAsia="Calibri" w:hAnsi="Calibri"/>
          <w:sz w:val="18"/>
          <w:szCs w:val="18"/>
        </w:rPr>
        <w:t xml:space="preserve">High sludge/solids loading overwhelming the Skimming Module’s separation capacity.   </w:t>
      </w:r>
      <w:r>
        <w:rPr>
          <w:rFonts w:ascii="Calibri" w:cs="Calibri" w:eastAsia="Calibri" w:hAnsi="Calibri"/>
          <w:b/>
          <w:bCs/>
          <w:color w:val="9C5700"/>
          <w:sz w:val="18"/>
          <w:szCs w:val="18"/>
        </w:rPr>
        <w:t xml:space="preserve">Escalation Factor Control: </w:t>
      </w:r>
      <w:r>
        <w:rPr>
          <w:rFonts w:ascii="Calibri" w:cs="Calibri" w:eastAsia="Calibri" w:hAnsi="Calibri"/>
          <w:sz w:val="18"/>
          <w:szCs w:val="18"/>
        </w:rPr>
        <w:t xml:space="preserve">Sands/solids pre-removed via Tri-Decanter and high-speed centrifuge before water reaches the Skimming Module; HESO monitors treatment effectiveness.</w:t>
      </w:r>
    </w:p>
    <w:p>
      <w:pPr>
        <w:spacing w:after="260" w:before="100"/>
      </w:pPr>
      <w:r>
        <w:rPr>
          <w:rFonts w:ascii="Calibri" w:cs="Calibri" w:eastAsia="Calibri" w:hAnsi="Calibri"/>
          <w:b/>
          <w:bCs/>
          <w:sz w:val="18"/>
          <w:szCs w:val="18"/>
        </w:rPr>
        <w:t xml:space="preserve">Initial Risk (pre-mitigation barriers): </w:t>
      </w:r>
      <w:r>
        <w:rPr>
          <w:rFonts w:ascii="Calibri" w:cs="Calibri" w:eastAsia="Calibri" w:hAnsi="Calibri"/>
          <w:sz w:val="18"/>
          <w:szCs w:val="18"/>
        </w:rPr>
        <w:t xml:space="preserve">Not separately rated in source JSAs – assessed as Category II (Medium) pending site-specific confirmation   </w:t>
      </w:r>
      <w:r>
        <w:rPr>
          <w:rFonts w:ascii="Calibri" w:cs="Calibri" w:eastAsia="Calibri" w:hAnsi="Calibri"/>
          <w:b/>
          <w:bCs/>
          <w:sz w:val="18"/>
          <w:szCs w:val="18"/>
        </w:rPr>
        <w:t xml:space="preserve">Residual Risk (with barriers applied): </w:t>
      </w:r>
      <w:r>
        <w:rPr>
          <w:rFonts w:ascii="Calibri" w:cs="Calibri" w:eastAsia="Calibri" w:hAnsi="Calibri"/>
          <w:sz w:val="18"/>
          <w:szCs w:val="18"/>
        </w:rPr>
        <w:t xml:space="preserve">Category I–II (Low–Medium, subject to WWTP verification)</w:t>
      </w:r>
    </w:p>
    <w:p>
      <w:pPr>
        <w:spacing w:after="90" w:before="260"/>
      </w:pPr>
      <w:r>
        <w:rPr>
          <w:rFonts w:ascii="Calibri" w:cs="Calibri" w:eastAsia="Calibri" w:hAnsi="Calibri"/>
          <w:b/>
          <w:bCs/>
          <w:color w:val="8B1E1E"/>
          <w:sz w:val="21"/>
          <w:szCs w:val="21"/>
        </w:rPr>
        <w:t xml:space="preserve">TE-8   </w:t>
      </w:r>
      <w:r>
        <w:rPr>
          <w:rFonts w:ascii="Calibri" w:cs="Calibri" w:eastAsia="Calibri" w:hAnsi="Calibri"/>
          <w:b/>
          <w:bCs/>
          <w:color w:val="1F3864"/>
          <w:sz w:val="21"/>
          <w:szCs w:val="21"/>
        </w:rPr>
        <w:t xml:space="preserve">Spill during Waste / Recovered-Oil Transport (Tankers &amp; Vessels)</w:t>
      </w:r>
    </w:p>
    <w:p>
      <w:pPr>
        <w:spacing w:after="130" w:line="258"/>
      </w:pPr>
      <w:r>
        <w:rPr>
          <w:rFonts w:ascii="Calibri" w:cs="Calibri" w:eastAsia="Calibri" w:hAnsi="Calibri"/>
          <w:i/>
          <w:iCs/>
          <w:color w:val="595959"/>
          <w:sz w:val="18"/>
          <w:szCs w:val="18"/>
        </w:rPr>
        <w:t xml:space="preserve">Release of oily waste or recovered product during loading, unloading or transit between site and disposal/treatment facilities.</w:t>
      </w:r>
    </w:p>
    <w:tbl>
      <w:tblPr>
        <w:tblW w:type="dxa" w:w="13500"/>
        <w:tblBorders>
          <w:top w:val="single" w:color="auto" w:sz="4"/>
          <w:left w:val="single" w:color="auto" w:sz="4"/>
          <w:bottom w:val="single" w:color="auto" w:sz="4"/>
          <w:right w:val="single" w:color="auto" w:sz="4"/>
          <w:insideH w:val="single" w:color="auto" w:sz="4"/>
          <w:insideV w:val="single" w:color="auto" w:sz="4"/>
        </w:tblBorders>
      </w:tblPr>
      <w:tblGrid>
        <w:gridCol w:w="2900"/>
        <w:gridCol w:w="3100"/>
        <w:gridCol w:w="1500"/>
        <w:gridCol w:w="3100"/>
        <w:gridCol w:w="2900"/>
      </w:tblGrid>
      <w:tr>
        <w:trPr>
          <w:tblHeader/>
        </w:trPr>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THREATS / CAUSES</w:t>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PREVENTIVE BARRIERS</w:t>
            </w:r>
          </w:p>
        </w:tc>
        <w:tc>
          <w:tcPr>
            <w:tcW w:type="dxa" w:w="1500"/>
            <w:shd w:fill="8B1E1E"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MITIGATIVE / RECOVERY BARRIERS</w:t>
            </w:r>
          </w:p>
        </w:tc>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CONSEQUENCES</w:t>
            </w:r>
          </w:p>
        </w:tc>
      </w:tr>
      <w:tr>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Vehicle/vessel not fit for purpose or wrong ADR classification</w:t>
            </w:r>
          </w:p>
          <w:p>
            <w:pPr>
              <w:pStyle w:val="ListParagraph"/>
              <w:numPr>
                <w:ilvl w:val="0"/>
                <w:numId w:val="2"/>
              </w:numPr>
              <w:spacing w:after="70" w:line="250"/>
            </w:pPr>
            <w:r>
              <w:rPr>
                <w:rFonts w:ascii="Calibri" w:cs="Calibri" w:eastAsia="Calibri" w:hAnsi="Calibri"/>
                <w:sz w:val="17"/>
                <w:szCs w:val="17"/>
              </w:rPr>
              <w:t xml:space="preserve">Incident during loading/unloading operations</w:t>
            </w:r>
          </w:p>
          <w:p>
            <w:pPr>
              <w:pStyle w:val="ListParagraph"/>
              <w:numPr>
                <w:ilvl w:val="0"/>
                <w:numId w:val="2"/>
              </w:numPr>
              <w:spacing w:after="70" w:line="250"/>
            </w:pPr>
            <w:r>
              <w:rPr>
                <w:rFonts w:ascii="Calibri" w:cs="Calibri" w:eastAsia="Calibri" w:hAnsi="Calibri"/>
                <w:sz w:val="17"/>
                <w:szCs w:val="17"/>
              </w:rPr>
              <w:t xml:space="preserve">Vapour release during pumping/vacuum transfer</w:t>
            </w:r>
          </w:p>
          <w:p>
            <w:pPr>
              <w:pStyle w:val="ListParagraph"/>
              <w:numPr>
                <w:ilvl w:val="0"/>
                <w:numId w:val="2"/>
              </w:numPr>
              <w:spacing w:after="0" w:line="250"/>
            </w:pPr>
            <w:r>
              <w:rPr>
                <w:rFonts w:ascii="Calibri" w:cs="Calibri" w:eastAsia="Calibri" w:hAnsi="Calibri"/>
                <w:sz w:val="17"/>
                <w:szCs w:val="17"/>
              </w:rPr>
              <w:t xml:space="preserve">Cross-contamination from a tanker not properly cleaned before loading</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ADR-classified vehicle (Class 3 for hydrocarbons) confirmed before use</w:t>
            </w:r>
          </w:p>
          <w:p>
            <w:pPr>
              <w:pStyle w:val="ListParagraph"/>
              <w:numPr>
                <w:ilvl w:val="0"/>
                <w:numId w:val="2"/>
              </w:numPr>
              <w:spacing w:after="70" w:line="250"/>
            </w:pPr>
            <w:r>
              <w:rPr>
                <w:rFonts w:ascii="Calibri" w:cs="Calibri" w:eastAsia="Calibri" w:hAnsi="Calibri"/>
                <w:sz w:val="17"/>
                <w:szCs w:val="17"/>
              </w:rPr>
              <w:t xml:space="preserve">Current Renaissance Oil Inspection Sticker verified on tanker</w:t>
            </w:r>
          </w:p>
          <w:p>
            <w:pPr>
              <w:pStyle w:val="ListParagraph"/>
              <w:numPr>
                <w:ilvl w:val="0"/>
                <w:numId w:val="2"/>
              </w:numPr>
              <w:spacing w:after="70" w:line="250"/>
            </w:pPr>
            <w:r>
              <w:rPr>
                <w:rFonts w:ascii="Calibri" w:cs="Calibri" w:eastAsia="Calibri" w:hAnsi="Calibri"/>
                <w:sz w:val="17"/>
                <w:szCs w:val="17"/>
              </w:rPr>
              <w:t xml:space="preserve">Tanker confirmed empty and clean prior to loading; washed out in designated area if necessary</w:t>
            </w:r>
          </w:p>
          <w:p>
            <w:pPr>
              <w:pStyle w:val="ListParagraph"/>
              <w:numPr>
                <w:ilvl w:val="0"/>
                <w:numId w:val="2"/>
              </w:numPr>
              <w:spacing w:after="70" w:line="250"/>
            </w:pPr>
            <w:r>
              <w:rPr>
                <w:rFonts w:ascii="Calibri" w:cs="Calibri" w:eastAsia="Calibri" w:hAnsi="Calibri"/>
                <w:sz w:val="17"/>
                <w:szCs w:val="17"/>
              </w:rPr>
              <w:t xml:space="preserve">Grounding and bonding of tanker during all loading/unloading</w:t>
            </w:r>
          </w:p>
          <w:p>
            <w:pPr>
              <w:pStyle w:val="ListParagraph"/>
              <w:numPr>
                <w:ilvl w:val="0"/>
                <w:numId w:val="2"/>
              </w:numPr>
              <w:spacing w:after="70" w:line="250"/>
            </w:pPr>
            <w:r>
              <w:rPr>
                <w:rFonts w:ascii="Calibri" w:cs="Calibri" w:eastAsia="Calibri" w:hAnsi="Calibri"/>
                <w:sz w:val="17"/>
                <w:szCs w:val="17"/>
              </w:rPr>
              <w:t xml:space="preserve">Operators remain within 8 m of tanker, ready to shut down transfer in an emergency</w:t>
            </w:r>
          </w:p>
          <w:p>
            <w:pPr>
              <w:pStyle w:val="ListParagraph"/>
              <w:numPr>
                <w:ilvl w:val="0"/>
                <w:numId w:val="2"/>
              </w:numPr>
              <w:spacing w:after="70" w:line="250"/>
            </w:pPr>
            <w:r>
              <w:rPr>
                <w:rFonts w:ascii="Calibri" w:cs="Calibri" w:eastAsia="Calibri" w:hAnsi="Calibri"/>
                <w:sz w:val="17"/>
                <w:szCs w:val="17"/>
              </w:rPr>
              <w:t xml:space="preserve">Only ADR-trained operatives load/unload dangerous goods or waste</w:t>
            </w:r>
          </w:p>
          <w:p>
            <w:pPr>
              <w:pStyle w:val="ListParagraph"/>
              <w:numPr>
                <w:ilvl w:val="0"/>
                <w:numId w:val="2"/>
              </w:numPr>
              <w:spacing w:after="70" w:line="250"/>
            </w:pPr>
            <w:r>
              <w:rPr>
                <w:rFonts w:ascii="Calibri" w:cs="Calibri" w:eastAsia="Calibri" w:hAnsi="Calibri"/>
                <w:sz w:val="17"/>
                <w:szCs w:val="17"/>
              </w:rPr>
              <w:t xml:space="preserve">Vacuum-pump vapours controlled – vent hose extended ≥15 m downwind; vertical exhaust ≥ 3.65 m above vehicle</w:t>
            </w:r>
          </w:p>
          <w:p>
            <w:pPr>
              <w:pStyle w:val="ListParagraph"/>
              <w:numPr>
                <w:ilvl w:val="0"/>
                <w:numId w:val="2"/>
              </w:numPr>
              <w:spacing w:after="0" w:line="250"/>
            </w:pPr>
            <w:r>
              <w:rPr>
                <w:rFonts w:ascii="Calibri" w:cs="Calibri" w:eastAsia="Calibri" w:hAnsi="Calibri"/>
                <w:sz w:val="17"/>
                <w:szCs w:val="17"/>
              </w:rPr>
              <w:t xml:space="preserve">DGSA (Dangerous Goods Safety Adviser) oversight</w:t>
            </w:r>
          </w:p>
        </w:tc>
        <w:tc>
          <w:tcPr>
            <w:tcW w:type="dxa" w:w="1500"/>
            <w:shd w:fill="8B1E1E" w:val="clear"/>
            <w:tcMar>
              <w:top w:type="dxa" w:w="120"/>
              <w:left w:type="dxa" w:w="90"/>
              <w:bottom w:type="dxa" w:w="120"/>
              <w:right w:type="dxa" w:w="90"/>
            </w:tcMar>
            <w:vAlign w:val="center"/>
          </w:tcPr>
          <w:p>
            <w:pPr>
              <w:jc w:val="center"/>
            </w:pPr>
            <w:r>
              <w:rPr>
                <w:rFonts w:ascii="Calibri" w:cs="Calibri" w:eastAsia="Calibri" w:hAnsi="Calibri"/>
                <w:b/>
                <w:bCs/>
                <w:color w:val="FFFFFF"/>
                <w:sz w:val="15"/>
                <w:szCs w:val="15"/>
              </w:rPr>
              <w:t xml:space="preserve">TOP EVENT</w:t>
            </w:r>
          </w:p>
          <w:p>
            <w:pPr>
              <w:spacing w:before="60"/>
              <w:jc w:val="center"/>
            </w:pPr>
            <w:r>
              <w:rPr>
                <w:rFonts w:ascii="Calibri" w:cs="Calibri" w:eastAsia="Calibri" w:hAnsi="Calibri"/>
                <w:b/>
                <w:bCs/>
                <w:color w:val="FFFFFF"/>
                <w:sz w:val="17"/>
                <w:szCs w:val="17"/>
              </w:rPr>
              <w:t xml:space="preserve">Spill during Waste / Recovered-Oil Transport (Tankers &amp; Vessels)</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Vacuum Truck Loading/Unloading Risk Assessment and Log completed for every operation</w:t>
            </w:r>
          </w:p>
          <w:p>
            <w:pPr>
              <w:pStyle w:val="ListParagraph"/>
              <w:numPr>
                <w:ilvl w:val="0"/>
                <w:numId w:val="2"/>
              </w:numPr>
              <w:spacing w:after="70" w:line="250"/>
            </w:pPr>
            <w:r>
              <w:rPr>
                <w:rFonts w:ascii="Calibri" w:cs="Calibri" w:eastAsia="Calibri" w:hAnsi="Calibri"/>
                <w:sz w:val="17"/>
                <w:szCs w:val="17"/>
              </w:rPr>
              <w:t xml:space="preserve">Emergency shutdown readiness maintained throughout transfer</w:t>
            </w:r>
          </w:p>
          <w:p>
            <w:pPr>
              <w:pStyle w:val="ListParagraph"/>
              <w:numPr>
                <w:ilvl w:val="0"/>
                <w:numId w:val="2"/>
              </w:numPr>
              <w:spacing w:after="0" w:line="250"/>
            </w:pPr>
            <w:r>
              <w:rPr>
                <w:rFonts w:ascii="Calibri" w:cs="Calibri" w:eastAsia="Calibri" w:hAnsi="Calibri"/>
                <w:sz w:val="17"/>
                <w:szCs w:val="17"/>
              </w:rPr>
              <w:t xml:space="preserve">Waste Tracking &amp; Manifesting Form and NUPRC-approved manifest for every load</w:t>
            </w:r>
          </w:p>
        </w:tc>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Environment (E): contamination along the transport route or a Niger Delta waterway</w:t>
            </w:r>
          </w:p>
          <w:p>
            <w:pPr>
              <w:pStyle w:val="ListParagraph"/>
              <w:numPr>
                <w:ilvl w:val="0"/>
                <w:numId w:val="2"/>
              </w:numPr>
              <w:spacing w:after="70" w:line="250"/>
            </w:pPr>
            <w:r>
              <w:rPr>
                <w:rFonts w:ascii="Calibri" w:cs="Calibri" w:eastAsia="Calibri" w:hAnsi="Calibri"/>
                <w:sz w:val="17"/>
                <w:szCs w:val="17"/>
              </w:rPr>
              <w:t xml:space="preserve">People (P): exposure to hazardous vapours (e.g., H₂S, benzene)</w:t>
            </w:r>
          </w:p>
          <w:p>
            <w:pPr>
              <w:pStyle w:val="ListParagraph"/>
              <w:numPr>
                <w:ilvl w:val="0"/>
                <w:numId w:val="2"/>
              </w:numPr>
              <w:spacing w:after="0" w:line="250"/>
            </w:pPr>
            <w:r>
              <w:rPr>
                <w:rFonts w:ascii="Calibri" w:cs="Calibri" w:eastAsia="Calibri" w:hAnsi="Calibri"/>
                <w:sz w:val="17"/>
                <w:szCs w:val="17"/>
              </w:rPr>
              <w:t xml:space="preserve">Reputation (R): prosecution / regulatory sanction</w:t>
            </w:r>
          </w:p>
        </w:tc>
      </w:tr>
    </w:tbl>
    <w:p>
      <w:pPr>
        <w:spacing w:after="100"/>
      </w:pPr>
    </w:p>
    <w:p>
      <w:pPr>
        <w:spacing w:after="260" w:before="100"/>
      </w:pPr>
      <w:r>
        <w:rPr>
          <w:rFonts w:ascii="Calibri" w:cs="Calibri" w:eastAsia="Calibri" w:hAnsi="Calibri"/>
          <w:b/>
          <w:bCs/>
          <w:sz w:val="18"/>
          <w:szCs w:val="18"/>
        </w:rPr>
        <w:t xml:space="preserve">Initial Risk (pre-mitigation barriers): </w:t>
      </w:r>
      <w:r>
        <w:rPr>
          <w:rFonts w:ascii="Calibri" w:cs="Calibri" w:eastAsia="Calibri" w:hAnsi="Calibri"/>
          <w:sz w:val="18"/>
          <w:szCs w:val="18"/>
        </w:rPr>
        <w:t xml:space="preserve">C3 / L3 – Category II (Medium)   </w:t>
      </w:r>
      <w:r>
        <w:rPr>
          <w:rFonts w:ascii="Calibri" w:cs="Calibri" w:eastAsia="Calibri" w:hAnsi="Calibri"/>
          <w:b/>
          <w:bCs/>
          <w:sz w:val="18"/>
          <w:szCs w:val="18"/>
        </w:rPr>
        <w:t xml:space="preserve">Residual Risk (with barriers applied): </w:t>
      </w:r>
      <w:r>
        <w:rPr>
          <w:rFonts w:ascii="Calibri" w:cs="Calibri" w:eastAsia="Calibri" w:hAnsi="Calibri"/>
          <w:sz w:val="18"/>
          <w:szCs w:val="18"/>
        </w:rPr>
        <w:t xml:space="preserve">C1 / L1 – Category II (Controls Verified – ALARP)</w:t>
      </w:r>
    </w:p>
    <w:p>
      <w:pPr>
        <w:spacing w:after="90" w:before="260"/>
      </w:pPr>
      <w:r>
        <w:rPr>
          <w:rFonts w:ascii="Calibri" w:cs="Calibri" w:eastAsia="Calibri" w:hAnsi="Calibri"/>
          <w:b/>
          <w:bCs/>
          <w:color w:val="8B1E1E"/>
          <w:sz w:val="21"/>
          <w:szCs w:val="21"/>
        </w:rPr>
        <w:t xml:space="preserve">TE-9   </w:t>
      </w:r>
      <w:r>
        <w:rPr>
          <w:rFonts w:ascii="Calibri" w:cs="Calibri" w:eastAsia="Calibri" w:hAnsi="Calibri"/>
          <w:b/>
          <w:bCs/>
          <w:color w:val="1F3864"/>
          <w:sz w:val="21"/>
          <w:szCs w:val="21"/>
        </w:rPr>
        <w:t xml:space="preserve">Fire / Explosion Involving Flammable Hydrocarbon Vapours</w:t>
      </w:r>
    </w:p>
    <w:p>
      <w:pPr>
        <w:spacing w:after="130" w:line="258"/>
      </w:pPr>
      <w:r>
        <w:rPr>
          <w:rFonts w:ascii="Calibri" w:cs="Calibri" w:eastAsia="Calibri" w:hAnsi="Calibri"/>
          <w:i/>
          <w:iCs/>
          <w:color w:val="595959"/>
          <w:sz w:val="18"/>
          <w:szCs w:val="18"/>
        </w:rPr>
        <w:t xml:space="preserve">Ignition of flammable hydrocarbon vapours within a tank, process module or confined space, with potential for secondary environmental release (firewater run-off, air emissions, damaged containment).</w:t>
      </w:r>
    </w:p>
    <w:tbl>
      <w:tblPr>
        <w:tblW w:type="dxa" w:w="13500"/>
        <w:tblBorders>
          <w:top w:val="single" w:color="auto" w:sz="4"/>
          <w:left w:val="single" w:color="auto" w:sz="4"/>
          <w:bottom w:val="single" w:color="auto" w:sz="4"/>
          <w:right w:val="single" w:color="auto" w:sz="4"/>
          <w:insideH w:val="single" w:color="auto" w:sz="4"/>
          <w:insideV w:val="single" w:color="auto" w:sz="4"/>
        </w:tblBorders>
      </w:tblPr>
      <w:tblGrid>
        <w:gridCol w:w="2900"/>
        <w:gridCol w:w="3100"/>
        <w:gridCol w:w="1500"/>
        <w:gridCol w:w="3100"/>
        <w:gridCol w:w="2900"/>
      </w:tblGrid>
      <w:tr>
        <w:trPr>
          <w:tblHeader/>
        </w:trPr>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THREATS / CAUSES</w:t>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PREVENTIVE BARRIERS</w:t>
            </w:r>
          </w:p>
        </w:tc>
        <w:tc>
          <w:tcPr>
            <w:tcW w:type="dxa" w:w="1500"/>
            <w:shd w:fill="8B1E1E"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MITIGATIVE / RECOVERY BARRIERS</w:t>
            </w:r>
          </w:p>
        </w:tc>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CONSEQUENCES</w:t>
            </w:r>
          </w:p>
        </w:tc>
      </w:tr>
      <w:tr>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Ignition source present near a flammable atmosphere</w:t>
            </w:r>
          </w:p>
          <w:p>
            <w:pPr>
              <w:pStyle w:val="ListParagraph"/>
              <w:numPr>
                <w:ilvl w:val="0"/>
                <w:numId w:val="2"/>
              </w:numPr>
              <w:spacing w:after="70" w:line="250"/>
            </w:pPr>
            <w:r>
              <w:rPr>
                <w:rFonts w:ascii="Calibri" w:cs="Calibri" w:eastAsia="Calibri" w:hAnsi="Calibri"/>
                <w:sz w:val="17"/>
                <w:szCs w:val="17"/>
              </w:rPr>
              <w:t xml:space="preserve">LEL exceeding safe threshold in tank/confined space</w:t>
            </w:r>
          </w:p>
          <w:p>
            <w:pPr>
              <w:pStyle w:val="ListParagraph"/>
              <w:numPr>
                <w:ilvl w:val="0"/>
                <w:numId w:val="2"/>
              </w:numPr>
              <w:spacing w:after="70" w:line="250"/>
            </w:pPr>
            <w:r>
              <w:rPr>
                <w:rFonts w:ascii="Calibri" w:cs="Calibri" w:eastAsia="Calibri" w:hAnsi="Calibri"/>
                <w:sz w:val="17"/>
                <w:szCs w:val="17"/>
              </w:rPr>
              <w:t xml:space="preserve">Static discharge during product transfer</w:t>
            </w:r>
          </w:p>
          <w:p>
            <w:pPr>
              <w:pStyle w:val="ListParagraph"/>
              <w:numPr>
                <w:ilvl w:val="0"/>
                <w:numId w:val="2"/>
              </w:numPr>
              <w:spacing w:after="0" w:line="250"/>
            </w:pPr>
            <w:r>
              <w:rPr>
                <w:rFonts w:ascii="Calibri" w:cs="Calibri" w:eastAsia="Calibri" w:hAnsi="Calibri"/>
                <w:sz w:val="17"/>
                <w:szCs w:val="17"/>
              </w:rPr>
              <w:t xml:space="preserve">Hot work performed near hydrocarbon sources</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Continuous gas detection / O₂ and LEL monitoring with automatic shutdown (O₂ &gt; 8%; work stopped if LEL &gt; 10%, resumed only below 5%)</w:t>
            </w:r>
          </w:p>
          <w:p>
            <w:pPr>
              <w:pStyle w:val="ListParagraph"/>
              <w:numPr>
                <w:ilvl w:val="0"/>
                <w:numId w:val="2"/>
              </w:numPr>
              <w:spacing w:after="70" w:line="250"/>
            </w:pPr>
            <w:r>
              <w:rPr>
                <w:rFonts w:ascii="Calibri" w:cs="Calibri" w:eastAsia="Calibri" w:hAnsi="Calibri"/>
                <w:sz w:val="17"/>
                <w:szCs w:val="17"/>
              </w:rPr>
              <w:t xml:space="preserve">ATEX-certified equipment used throughout hydrocarbon-handling areas</w:t>
            </w:r>
          </w:p>
          <w:p>
            <w:pPr>
              <w:pStyle w:val="ListParagraph"/>
              <w:numPr>
                <w:ilvl w:val="0"/>
                <w:numId w:val="2"/>
              </w:numPr>
              <w:spacing w:after="70" w:line="250"/>
            </w:pPr>
            <w:r>
              <w:rPr>
                <w:rFonts w:ascii="Calibri" w:cs="Calibri" w:eastAsia="Calibri" w:hAnsi="Calibri"/>
                <w:sz w:val="17"/>
                <w:szCs w:val="17"/>
              </w:rPr>
              <w:t xml:space="preserve">No ignition sources permitted in classified areas; smoking prohibited near hydrocarbons</w:t>
            </w:r>
          </w:p>
          <w:p>
            <w:pPr>
              <w:pStyle w:val="ListParagraph"/>
              <w:numPr>
                <w:ilvl w:val="0"/>
                <w:numId w:val="2"/>
              </w:numPr>
              <w:spacing w:after="70" w:line="250"/>
            </w:pPr>
            <w:r>
              <w:rPr>
                <w:rFonts w:ascii="Calibri" w:cs="Calibri" w:eastAsia="Calibri" w:hAnsi="Calibri"/>
                <w:sz w:val="17"/>
                <w:szCs w:val="17"/>
              </w:rPr>
              <w:t xml:space="preserve">Fire extinguishers positioned on site and serviced every six months</w:t>
            </w:r>
          </w:p>
          <w:p>
            <w:pPr>
              <w:pStyle w:val="ListParagraph"/>
              <w:numPr>
                <w:ilvl w:val="0"/>
                <w:numId w:val="2"/>
              </w:numPr>
              <w:spacing w:after="70" w:line="250"/>
            </w:pPr>
            <w:r>
              <w:rPr>
                <w:rFonts w:ascii="Calibri" w:cs="Calibri" w:eastAsia="Calibri" w:hAnsi="Calibri"/>
                <w:sz w:val="17"/>
                <w:szCs w:val="17"/>
              </w:rPr>
              <w:t xml:space="preserve">Hot Work Permit required, separated from concurrent hydrocarbon-handling tasks</w:t>
            </w:r>
          </w:p>
          <w:p>
            <w:pPr>
              <w:pStyle w:val="ListParagraph"/>
              <w:numPr>
                <w:ilvl w:val="0"/>
                <w:numId w:val="2"/>
              </w:numPr>
              <w:spacing w:after="70" w:line="250"/>
            </w:pPr>
            <w:r>
              <w:rPr>
                <w:rFonts w:ascii="Calibri" w:cs="Calibri" w:eastAsia="Calibri" w:hAnsi="Calibri"/>
                <w:sz w:val="17"/>
                <w:szCs w:val="17"/>
              </w:rPr>
              <w:t xml:space="preserve">Earthing and bonding of all hosing/equipment</w:t>
            </w:r>
          </w:p>
          <w:p>
            <w:pPr>
              <w:pStyle w:val="ListParagraph"/>
              <w:numPr>
                <w:ilvl w:val="0"/>
                <w:numId w:val="2"/>
              </w:numPr>
              <w:spacing w:after="0" w:line="250"/>
            </w:pPr>
            <w:r>
              <w:rPr>
                <w:rFonts w:ascii="Calibri" w:cs="Calibri" w:eastAsia="Calibri" w:hAnsi="Calibri"/>
                <w:sz w:val="17"/>
                <w:szCs w:val="17"/>
              </w:rPr>
              <w:t xml:space="preserve">Forced ventilation of tanks using ATEX blowers prior to and during entry work</w:t>
            </w:r>
          </w:p>
        </w:tc>
        <w:tc>
          <w:tcPr>
            <w:tcW w:type="dxa" w:w="1500"/>
            <w:shd w:fill="8B1E1E" w:val="clear"/>
            <w:tcMar>
              <w:top w:type="dxa" w:w="120"/>
              <w:left w:type="dxa" w:w="90"/>
              <w:bottom w:type="dxa" w:w="120"/>
              <w:right w:type="dxa" w:w="90"/>
            </w:tcMar>
            <w:vAlign w:val="center"/>
          </w:tcPr>
          <w:p>
            <w:pPr>
              <w:jc w:val="center"/>
            </w:pPr>
            <w:r>
              <w:rPr>
                <w:rFonts w:ascii="Calibri" w:cs="Calibri" w:eastAsia="Calibri" w:hAnsi="Calibri"/>
                <w:b/>
                <w:bCs/>
                <w:color w:val="FFFFFF"/>
                <w:sz w:val="15"/>
                <w:szCs w:val="15"/>
              </w:rPr>
              <w:t xml:space="preserve">TOP EVENT</w:t>
            </w:r>
          </w:p>
          <w:p>
            <w:pPr>
              <w:spacing w:before="60"/>
              <w:jc w:val="center"/>
            </w:pPr>
            <w:r>
              <w:rPr>
                <w:rFonts w:ascii="Calibri" w:cs="Calibri" w:eastAsia="Calibri" w:hAnsi="Calibri"/>
                <w:b/>
                <w:bCs/>
                <w:color w:val="FFFFFF"/>
                <w:sz w:val="17"/>
                <w:szCs w:val="17"/>
              </w:rPr>
              <w:t xml:space="preserve">Fire / Explosion Involving Flammable Hydrocarbon Vapours</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Trained fire crew and site personnel aware of extinguisher locations</w:t>
            </w:r>
          </w:p>
          <w:p>
            <w:pPr>
              <w:pStyle w:val="ListParagraph"/>
              <w:numPr>
                <w:ilvl w:val="0"/>
                <w:numId w:val="2"/>
              </w:numPr>
              <w:spacing w:after="70" w:line="250"/>
            </w:pPr>
            <w:r>
              <w:rPr>
                <w:rFonts w:ascii="Calibri" w:cs="Calibri" w:eastAsia="Calibri" w:hAnsi="Calibri"/>
                <w:sz w:val="17"/>
                <w:szCs w:val="17"/>
              </w:rPr>
              <w:t xml:space="preserve">Emergency Response Plan (ERP) with muster/evacuation procedures</w:t>
            </w:r>
          </w:p>
          <w:p>
            <w:pPr>
              <w:pStyle w:val="ListParagraph"/>
              <w:numPr>
                <w:ilvl w:val="0"/>
                <w:numId w:val="2"/>
              </w:numPr>
              <w:spacing w:after="70" w:line="250"/>
            </w:pPr>
            <w:r>
              <w:rPr>
                <w:rFonts w:ascii="Calibri" w:cs="Calibri" w:eastAsia="Calibri" w:hAnsi="Calibri"/>
                <w:sz w:val="17"/>
                <w:szCs w:val="17"/>
              </w:rPr>
              <w:t xml:space="preserve">Immediate suspension and venting of works if LEL exceeds 10%</w:t>
            </w:r>
          </w:p>
          <w:p>
            <w:pPr>
              <w:pStyle w:val="ListParagraph"/>
              <w:numPr>
                <w:ilvl w:val="0"/>
                <w:numId w:val="2"/>
              </w:numPr>
              <w:spacing w:after="0" w:line="250"/>
            </w:pPr>
            <w:r>
              <w:rPr>
                <w:rFonts w:ascii="Calibri" w:cs="Calibri" w:eastAsia="Calibri" w:hAnsi="Calibri"/>
                <w:sz w:val="17"/>
                <w:szCs w:val="17"/>
              </w:rPr>
              <w:t xml:space="preserve">Q-CASHES Coordinator/supervisor notified immediately of any extinguisher use or fire event</w:t>
            </w:r>
          </w:p>
        </w:tc>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Environment (E): air emissions; contaminated firewater run-off; secondary spill from damaged containment – potentially Level 4–5 (Major–Massive Effect)</w:t>
            </w:r>
          </w:p>
          <w:p>
            <w:pPr>
              <w:pStyle w:val="ListParagraph"/>
              <w:numPr>
                <w:ilvl w:val="0"/>
                <w:numId w:val="2"/>
              </w:numPr>
              <w:spacing w:after="70" w:line="250"/>
            </w:pPr>
            <w:r>
              <w:rPr>
                <w:rFonts w:ascii="Calibri" w:cs="Calibri" w:eastAsia="Calibri" w:hAnsi="Calibri"/>
                <w:sz w:val="17"/>
                <w:szCs w:val="17"/>
              </w:rPr>
              <w:t xml:space="preserve">People (P): potential fatality or serious injury</w:t>
            </w:r>
          </w:p>
          <w:p>
            <w:pPr>
              <w:pStyle w:val="ListParagraph"/>
              <w:numPr>
                <w:ilvl w:val="0"/>
                <w:numId w:val="2"/>
              </w:numPr>
              <w:spacing w:after="70" w:line="250"/>
            </w:pPr>
            <w:r>
              <w:rPr>
                <w:rFonts w:ascii="Calibri" w:cs="Calibri" w:eastAsia="Calibri" w:hAnsi="Calibri"/>
                <w:sz w:val="17"/>
                <w:szCs w:val="17"/>
              </w:rPr>
              <w:t xml:space="preserve">Assets (A): major damage to plant, tanks or equipment</w:t>
            </w:r>
          </w:p>
          <w:p>
            <w:pPr>
              <w:pStyle w:val="ListParagraph"/>
              <w:numPr>
                <w:ilvl w:val="0"/>
                <w:numId w:val="2"/>
              </w:numPr>
              <w:spacing w:after="0" w:line="250"/>
            </w:pPr>
            <w:r>
              <w:rPr>
                <w:rFonts w:ascii="Calibri" w:cs="Calibri" w:eastAsia="Calibri" w:hAnsi="Calibri"/>
                <w:sz w:val="17"/>
                <w:szCs w:val="17"/>
              </w:rPr>
              <w:t xml:space="preserve">Reputation (R): major incident – national-level scrutiny</w:t>
            </w:r>
          </w:p>
        </w:tc>
      </w:tr>
    </w:tbl>
    <w:p>
      <w:pPr>
        <w:spacing w:after="100" w:line="258"/>
      </w:pPr>
      <w:r>
        <w:rPr>
          <w:rFonts w:ascii="Calibri" w:cs="Calibri" w:eastAsia="Calibri" w:hAnsi="Calibri"/>
          <w:b/>
          <w:bCs/>
          <w:color w:val="9C5700"/>
          <w:sz w:val="18"/>
          <w:szCs w:val="18"/>
        </w:rPr>
        <w:t xml:space="preserve">Escalation Factor: </w:t>
      </w:r>
      <w:r>
        <w:rPr>
          <w:rFonts w:ascii="Calibri" w:cs="Calibri" w:eastAsia="Calibri" w:hAnsi="Calibri"/>
          <w:sz w:val="18"/>
          <w:szCs w:val="18"/>
        </w:rPr>
        <w:t xml:space="preserve">Poor weather (lightning, high wind) or blocked roof drainage on tank roof during nitrogen charging.   </w:t>
      </w:r>
      <w:r>
        <w:rPr>
          <w:rFonts w:ascii="Calibri" w:cs="Calibri" w:eastAsia="Calibri" w:hAnsi="Calibri"/>
          <w:b/>
          <w:bCs/>
          <w:color w:val="9C5700"/>
          <w:sz w:val="18"/>
          <w:szCs w:val="18"/>
        </w:rPr>
        <w:t xml:space="preserve">Escalation Factor Control: </w:t>
      </w:r>
      <w:r>
        <w:rPr>
          <w:rFonts w:ascii="Calibri" w:cs="Calibri" w:eastAsia="Calibri" w:hAnsi="Calibri"/>
          <w:sz w:val="18"/>
          <w:szCs w:val="18"/>
        </w:rPr>
        <w:t xml:space="preserve">Daily weather reports reviewed; wind-speed gauges on cranes/MEWPs; work suspended in storms; diaphragm/Gorman pump used if roof drainage blocked.</w:t>
      </w:r>
    </w:p>
    <w:p>
      <w:pPr>
        <w:spacing w:after="260" w:before="100"/>
      </w:pPr>
      <w:r>
        <w:rPr>
          <w:rFonts w:ascii="Calibri" w:cs="Calibri" w:eastAsia="Calibri" w:hAnsi="Calibri"/>
          <w:b/>
          <w:bCs/>
          <w:sz w:val="18"/>
          <w:szCs w:val="18"/>
        </w:rPr>
        <w:t xml:space="preserve">Initial Risk (pre-mitigation barriers): </w:t>
      </w:r>
      <w:r>
        <w:rPr>
          <w:rFonts w:ascii="Calibri" w:cs="Calibri" w:eastAsia="Calibri" w:hAnsi="Calibri"/>
          <w:sz w:val="18"/>
          <w:szCs w:val="18"/>
        </w:rPr>
        <w:t xml:space="preserve">C3–5 / L3–4 – Category III (Significant, task-dependent)   </w:t>
      </w:r>
      <w:r>
        <w:rPr>
          <w:rFonts w:ascii="Calibri" w:cs="Calibri" w:eastAsia="Calibri" w:hAnsi="Calibri"/>
          <w:b/>
          <w:bCs/>
          <w:sz w:val="18"/>
          <w:szCs w:val="18"/>
        </w:rPr>
        <w:t xml:space="preserve">Residual Risk (with barriers applied): </w:t>
      </w:r>
      <w:r>
        <w:rPr>
          <w:rFonts w:ascii="Calibri" w:cs="Calibri" w:eastAsia="Calibri" w:hAnsi="Calibri"/>
          <w:sz w:val="18"/>
          <w:szCs w:val="18"/>
        </w:rPr>
        <w:t xml:space="preserve">C3 / L2–3 – Category I–II (Low–Medium, ALARP)</w:t>
      </w:r>
    </w:p>
    <w:p>
      <w:pPr>
        <w:spacing w:after="90" w:before="260"/>
      </w:pPr>
      <w:r>
        <w:rPr>
          <w:rFonts w:ascii="Calibri" w:cs="Calibri" w:eastAsia="Calibri" w:hAnsi="Calibri"/>
          <w:b/>
          <w:bCs/>
          <w:color w:val="8B1E1E"/>
          <w:sz w:val="21"/>
          <w:szCs w:val="21"/>
        </w:rPr>
        <w:t xml:space="preserve">TE-10   </w:t>
      </w:r>
      <w:r>
        <w:rPr>
          <w:rFonts w:ascii="Calibri" w:cs="Calibri" w:eastAsia="Calibri" w:hAnsi="Calibri"/>
          <w:b/>
          <w:bCs/>
          <w:color w:val="1F3864"/>
          <w:sz w:val="21"/>
          <w:szCs w:val="21"/>
        </w:rPr>
        <w:t xml:space="preserve">Improper Waste Handling / Disposal (Waste Management Non-Compliance)</w:t>
      </w:r>
    </w:p>
    <w:p>
      <w:pPr>
        <w:spacing w:after="130" w:line="258"/>
      </w:pPr>
      <w:r>
        <w:rPr>
          <w:rFonts w:ascii="Calibri" w:cs="Calibri" w:eastAsia="Calibri" w:hAnsi="Calibri"/>
          <w:i/>
          <w:iCs/>
          <w:color w:val="595959"/>
          <w:sz w:val="18"/>
          <w:szCs w:val="18"/>
        </w:rPr>
        <w:t xml:space="preserve">Uncontrolled or non-compliant management of Project-derived oily waste, sludge or spill-clean-up materials, including the specific risk of discharge to a watercourse.</w:t>
      </w:r>
    </w:p>
    <w:tbl>
      <w:tblPr>
        <w:tblW w:type="dxa" w:w="13500"/>
        <w:tblBorders>
          <w:top w:val="single" w:color="auto" w:sz="4"/>
          <w:left w:val="single" w:color="auto" w:sz="4"/>
          <w:bottom w:val="single" w:color="auto" w:sz="4"/>
          <w:right w:val="single" w:color="auto" w:sz="4"/>
          <w:insideH w:val="single" w:color="auto" w:sz="4"/>
          <w:insideV w:val="single" w:color="auto" w:sz="4"/>
        </w:tblBorders>
      </w:tblPr>
      <w:tblGrid>
        <w:gridCol w:w="2900"/>
        <w:gridCol w:w="3100"/>
        <w:gridCol w:w="1500"/>
        <w:gridCol w:w="3100"/>
        <w:gridCol w:w="2900"/>
      </w:tblGrid>
      <w:tr>
        <w:trPr>
          <w:tblHeader/>
        </w:trPr>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THREATS / CAUSES</w:t>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PREVENTIVE BARRIERS</w:t>
            </w:r>
          </w:p>
        </w:tc>
        <w:tc>
          <w:tcPr>
            <w:tcW w:type="dxa" w:w="1500"/>
            <w:shd w:fill="8B1E1E"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
            </w:r>
          </w:p>
        </w:tc>
        <w:tc>
          <w:tcPr>
            <w:tcW w:type="dxa" w:w="3100"/>
            <w:shd w:fill="0F6B72"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MITIGATIVE / RECOVERY BARRIERS</w:t>
            </w:r>
          </w:p>
        </w:tc>
        <w:tc>
          <w:tcPr>
            <w:tcW w:type="dxa" w:w="2900"/>
            <w:shd w:fill="1F3864" w:val="clear"/>
            <w:tcMar>
              <w:top w:type="dxa" w:w="100"/>
              <w:left w:type="dxa" w:w="110"/>
              <w:bottom w:type="dxa" w:w="100"/>
              <w:right w:type="dxa" w:w="110"/>
            </w:tcMar>
            <w:vAlign w:val="center"/>
          </w:tcPr>
          <w:p>
            <w:pPr>
              <w:jc w:val="center"/>
            </w:pPr>
            <w:r>
              <w:rPr>
                <w:rFonts w:ascii="Calibri" w:cs="Calibri" w:eastAsia="Calibri" w:hAnsi="Calibri"/>
                <w:b/>
                <w:bCs/>
                <w:color w:val="FFFFFF"/>
                <w:sz w:val="18"/>
                <w:szCs w:val="18"/>
              </w:rPr>
              <w:t xml:space="preserve">CONSEQUENCES</w:t>
            </w:r>
          </w:p>
        </w:tc>
      </w:tr>
      <w:tr>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Waste dumped or discharged into creeks, rivers or other watercourses (expressly prohibited)</w:t>
            </w:r>
          </w:p>
          <w:p>
            <w:pPr>
              <w:pStyle w:val="ListParagraph"/>
              <w:numPr>
                <w:ilvl w:val="0"/>
                <w:numId w:val="2"/>
              </w:numPr>
              <w:spacing w:after="70" w:line="250"/>
            </w:pPr>
            <w:r>
              <w:rPr>
                <w:rFonts w:ascii="Calibri" w:cs="Calibri" w:eastAsia="Calibri" w:hAnsi="Calibri"/>
                <w:sz w:val="17"/>
                <w:szCs w:val="17"/>
              </w:rPr>
              <w:t xml:space="preserve">Use of an unlicensed or unverified disposal contractor</w:t>
            </w:r>
          </w:p>
          <w:p>
            <w:pPr>
              <w:pStyle w:val="ListParagraph"/>
              <w:numPr>
                <w:ilvl w:val="0"/>
                <w:numId w:val="2"/>
              </w:numPr>
              <w:spacing w:after="70" w:line="250"/>
            </w:pPr>
            <w:r>
              <w:rPr>
                <w:rFonts w:ascii="Calibri" w:cs="Calibri" w:eastAsia="Calibri" w:hAnsi="Calibri"/>
                <w:sz w:val="17"/>
                <w:szCs w:val="17"/>
              </w:rPr>
              <w:t xml:space="preserve">Inadequate waste segregation, characterisation or containment</w:t>
            </w:r>
          </w:p>
          <w:p>
            <w:pPr>
              <w:pStyle w:val="ListParagraph"/>
              <w:numPr>
                <w:ilvl w:val="0"/>
                <w:numId w:val="2"/>
              </w:numPr>
              <w:spacing w:after="0" w:line="250"/>
            </w:pPr>
            <w:r>
              <w:rPr>
                <w:rFonts w:ascii="Calibri" w:cs="Calibri" w:eastAsia="Calibri" w:hAnsi="Calibri"/>
                <w:sz w:val="17"/>
                <w:szCs w:val="17"/>
              </w:rPr>
              <w:t xml:space="preserve">Loss of waste tracking / manifest documentation</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Waste Management Plan (WMP) implemented for the Project, aligned with FEPA Act 1988 and ISO 14001</w:t>
            </w:r>
          </w:p>
          <w:p>
            <w:pPr>
              <w:pStyle w:val="ListParagraph"/>
              <w:numPr>
                <w:ilvl w:val="0"/>
                <w:numId w:val="2"/>
              </w:numPr>
              <w:spacing w:after="70" w:line="250"/>
            </w:pPr>
            <w:r>
              <w:rPr>
                <w:rFonts w:ascii="Calibri" w:cs="Calibri" w:eastAsia="Calibri" w:hAnsi="Calibri"/>
                <w:sz w:val="17"/>
                <w:szCs w:val="17"/>
              </w:rPr>
              <w:t xml:space="preserve">Waste inventory, characterisation and segregation performed at source</w:t>
            </w:r>
          </w:p>
          <w:p>
            <w:pPr>
              <w:pStyle w:val="ListParagraph"/>
              <w:numPr>
                <w:ilvl w:val="0"/>
                <w:numId w:val="2"/>
              </w:numPr>
              <w:spacing w:after="70" w:line="250"/>
            </w:pPr>
            <w:r>
              <w:rPr>
                <w:rFonts w:ascii="Calibri" w:cs="Calibri" w:eastAsia="Calibri" w:hAnsi="Calibri"/>
                <w:sz w:val="17"/>
                <w:szCs w:val="17"/>
              </w:rPr>
              <w:t xml:space="preserve">Only NUPRC-approved waste manifests used for all transport and disposal</w:t>
            </w:r>
          </w:p>
          <w:p>
            <w:pPr>
              <w:pStyle w:val="ListParagraph"/>
              <w:numPr>
                <w:ilvl w:val="0"/>
                <w:numId w:val="2"/>
              </w:numPr>
              <w:spacing w:after="70" w:line="250"/>
            </w:pPr>
            <w:r>
              <w:rPr>
                <w:rFonts w:ascii="Calibri" w:cs="Calibri" w:eastAsia="Calibri" w:hAnsi="Calibri"/>
                <w:sz w:val="17"/>
                <w:szCs w:val="17"/>
              </w:rPr>
              <w:t xml:space="preserve">Only licensed transfer stations and licensed disposal facilities used</w:t>
            </w:r>
          </w:p>
          <w:p>
            <w:pPr>
              <w:pStyle w:val="ListParagraph"/>
              <w:numPr>
                <w:ilvl w:val="0"/>
                <w:numId w:val="2"/>
              </w:numPr>
              <w:spacing w:after="70" w:line="250"/>
            </w:pPr>
            <w:r>
              <w:rPr>
                <w:rFonts w:ascii="Calibri" w:cs="Calibri" w:eastAsia="Calibri" w:hAnsi="Calibri"/>
                <w:sz w:val="17"/>
                <w:szCs w:val="17"/>
              </w:rPr>
              <w:t xml:space="preserve">Subcontractors evaluated to confirm conformance with NUPRC (DPR) and FEPA/NESREA regulations</w:t>
            </w:r>
          </w:p>
          <w:p>
            <w:pPr>
              <w:pStyle w:val="ListParagraph"/>
              <w:numPr>
                <w:ilvl w:val="0"/>
                <w:numId w:val="2"/>
              </w:numPr>
              <w:spacing w:after="0" w:line="250"/>
            </w:pPr>
            <w:r>
              <w:rPr>
                <w:rFonts w:ascii="Calibri" w:cs="Calibri" w:eastAsia="Calibri" w:hAnsi="Calibri"/>
                <w:sz w:val="17"/>
                <w:szCs w:val="17"/>
              </w:rPr>
              <w:t xml:space="preserve">Waste Management Policy expressly prohibits dumping into creeks, rivers or watercourses</w:t>
            </w:r>
          </w:p>
        </w:tc>
        <w:tc>
          <w:tcPr>
            <w:tcW w:type="dxa" w:w="1500"/>
            <w:shd w:fill="8B1E1E" w:val="clear"/>
            <w:tcMar>
              <w:top w:type="dxa" w:w="120"/>
              <w:left w:type="dxa" w:w="90"/>
              <w:bottom w:type="dxa" w:w="120"/>
              <w:right w:type="dxa" w:w="90"/>
            </w:tcMar>
            <w:vAlign w:val="center"/>
          </w:tcPr>
          <w:p>
            <w:pPr>
              <w:jc w:val="center"/>
            </w:pPr>
            <w:r>
              <w:rPr>
                <w:rFonts w:ascii="Calibri" w:cs="Calibri" w:eastAsia="Calibri" w:hAnsi="Calibri"/>
                <w:b/>
                <w:bCs/>
                <w:color w:val="FFFFFF"/>
                <w:sz w:val="15"/>
                <w:szCs w:val="15"/>
              </w:rPr>
              <w:t xml:space="preserve">TOP EVENT</w:t>
            </w:r>
          </w:p>
          <w:p>
            <w:pPr>
              <w:spacing w:before="60"/>
              <w:jc w:val="center"/>
            </w:pPr>
            <w:r>
              <w:rPr>
                <w:rFonts w:ascii="Calibri" w:cs="Calibri" w:eastAsia="Calibri" w:hAnsi="Calibri"/>
                <w:b/>
                <w:bCs/>
                <w:color w:val="FFFFFF"/>
                <w:sz w:val="17"/>
                <w:szCs w:val="17"/>
              </w:rPr>
              <w:t xml:space="preserve">Improper Waste Handling / Disposal (Waste Management Non-Compliance)</w:t>
            </w:r>
          </w:p>
        </w:tc>
        <w:tc>
          <w:tcPr>
            <w:tcW w:type="dxa" w:w="3100"/>
            <w:shd w:fill="EAF6F5" w:val="clear"/>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HES Officer monitors WMP effectiveness through site visits and audits, reporting to the Project Manager</w:t>
            </w:r>
          </w:p>
          <w:p>
            <w:pPr>
              <w:pStyle w:val="ListParagraph"/>
              <w:numPr>
                <w:ilvl w:val="0"/>
                <w:numId w:val="2"/>
              </w:numPr>
              <w:spacing w:after="70" w:line="250"/>
            </w:pPr>
            <w:r>
              <w:rPr>
                <w:rFonts w:ascii="Calibri" w:cs="Calibri" w:eastAsia="Calibri" w:hAnsi="Calibri"/>
                <w:sz w:val="17"/>
                <w:szCs w:val="17"/>
              </w:rPr>
              <w:t xml:space="preserve">Logistics Officer verifies waste is properly contained, secured and manifested during transport</w:t>
            </w:r>
          </w:p>
          <w:p>
            <w:pPr>
              <w:pStyle w:val="ListParagraph"/>
              <w:numPr>
                <w:ilvl w:val="0"/>
                <w:numId w:val="2"/>
              </w:numPr>
              <w:spacing w:after="0" w:line="250"/>
            </w:pPr>
            <w:r>
              <w:rPr>
                <w:rFonts w:ascii="Calibri" w:cs="Calibri" w:eastAsia="Calibri" w:hAnsi="Calibri"/>
                <w:sz w:val="17"/>
                <w:szCs w:val="17"/>
              </w:rPr>
              <w:t xml:space="preserve">Corrective and preventive actions tracked to close-out for any non-conformance</w:t>
            </w:r>
          </w:p>
        </w:tc>
        <w:tc>
          <w:tcPr>
            <w:tcW w:type="dxa" w:w="2900"/>
            <w:tcMar>
              <w:top w:type="dxa" w:w="100"/>
              <w:left w:type="dxa" w:w="120"/>
              <w:bottom w:type="dxa" w:w="100"/>
              <w:right w:type="dxa" w:w="120"/>
            </w:tcMar>
            <w:vAlign w:val="top"/>
          </w:tcPr>
          <w:p>
            <w:pPr>
              <w:pStyle w:val="ListParagraph"/>
              <w:numPr>
                <w:ilvl w:val="0"/>
                <w:numId w:val="2"/>
              </w:numPr>
              <w:spacing w:after="70" w:line="250"/>
            </w:pPr>
            <w:r>
              <w:rPr>
                <w:rFonts w:ascii="Calibri" w:cs="Calibri" w:eastAsia="Calibri" w:hAnsi="Calibri"/>
                <w:sz w:val="17"/>
                <w:szCs w:val="17"/>
              </w:rPr>
              <w:t xml:space="preserve">Environment (E): soil/water contamination; ecological damage to Niger Delta creeks, wetlands and host-community water sources</w:t>
            </w:r>
          </w:p>
          <w:p>
            <w:pPr>
              <w:pStyle w:val="ListParagraph"/>
              <w:numPr>
                <w:ilvl w:val="0"/>
                <w:numId w:val="2"/>
              </w:numPr>
              <w:spacing w:after="0" w:line="250"/>
            </w:pPr>
            <w:r>
              <w:rPr>
                <w:rFonts w:ascii="Calibri" w:cs="Calibri" w:eastAsia="Calibri" w:hAnsi="Calibri"/>
                <w:sz w:val="17"/>
                <w:szCs w:val="17"/>
              </w:rPr>
              <w:t xml:space="preserve">Reputation (R): prosecution, regulatory sanction, potential loss of Contract</w:t>
            </w:r>
          </w:p>
        </w:tc>
      </w:tr>
    </w:tbl>
    <w:p>
      <w:pPr>
        <w:spacing w:after="100"/>
      </w:pPr>
    </w:p>
    <w:p>
      <w:pPr>
        <w:spacing w:after="260" w:before="100"/>
      </w:pPr>
      <w:r>
        <w:rPr>
          <w:rFonts w:ascii="Calibri" w:cs="Calibri" w:eastAsia="Calibri" w:hAnsi="Calibri"/>
          <w:b/>
          <w:bCs/>
          <w:sz w:val="18"/>
          <w:szCs w:val="18"/>
        </w:rPr>
        <w:t xml:space="preserve">Initial Risk (pre-mitigation barriers): </w:t>
      </w:r>
      <w:r>
        <w:rPr>
          <w:rFonts w:ascii="Calibri" w:cs="Calibri" w:eastAsia="Calibri" w:hAnsi="Calibri"/>
          <w:sz w:val="18"/>
          <w:szCs w:val="18"/>
        </w:rPr>
        <w:t xml:space="preserve">C3 / L3 – Category II (Medium)   </w:t>
      </w:r>
      <w:r>
        <w:rPr>
          <w:rFonts w:ascii="Calibri" w:cs="Calibri" w:eastAsia="Calibri" w:hAnsi="Calibri"/>
          <w:b/>
          <w:bCs/>
          <w:sz w:val="18"/>
          <w:szCs w:val="18"/>
        </w:rPr>
        <w:t xml:space="preserve">Residual Risk (with barriers applied): </w:t>
      </w:r>
      <w:r>
        <w:rPr>
          <w:rFonts w:ascii="Calibri" w:cs="Calibri" w:eastAsia="Calibri" w:hAnsi="Calibri"/>
          <w:sz w:val="18"/>
          <w:szCs w:val="18"/>
        </w:rPr>
        <w:t xml:space="preserve">C1 / L1 – Category II (Controls Verified – ALARP)</w:t>
      </w:r>
    </w:p>
    <w:p>
      <w:pPr>
        <w:sectPr>
          <w:headerReference w:type="default" r:id="rId9"/>
          <w:footerReference w:type="default" r:id="rId10"/>
          <w:pgSz w:w="15840" w:h="12240" w:orient="landscape"/>
          <w:pgMar w:top="720" w:right="620" w:bottom="720" w:left="620" w:header="708" w:footer="708" w:gutter="0"/>
          <w:pgNumType/>
          <w:docGrid w:linePitch="360"/>
        </w:sectPr>
      </w:pPr>
    </w:p>
    <w:p>
      <w:pPr>
        <w:pStyle w:val="Heading1"/>
        <w:pBdr>
          <w:bottom w:val="single" w:color="0F6B72" w:sz="8" w:space="4"/>
        </w:pBdr>
        <w:spacing w:after="160" w:before="360"/>
      </w:pPr>
      <w:r>
        <w:rPr>
          <w:rFonts w:ascii="Calibri" w:cs="Calibri" w:eastAsia="Calibri" w:hAnsi="Calibri"/>
          <w:b/>
          <w:bCs/>
          <w:color w:val="1F3864"/>
          <w:sz w:val="27"/>
          <w:szCs w:val="27"/>
        </w:rPr>
        <w:t xml:space="preserve">7.0  Barrier Adequacy Verification</w:t>
      </w:r>
    </w:p>
    <w:p>
      <w:pPr>
        <w:spacing w:after="160" w:line="276"/>
      </w:pPr>
      <w:r>
        <w:rPr>
          <w:rFonts w:ascii="Calibri" w:cs="Calibri" w:eastAsia="Calibri" w:hAnsi="Calibri"/>
          <w:sz w:val="21"/>
          <w:szCs w:val="21"/>
        </w:rPr>
        <w:t xml:space="preserve">Cross-checking Section 6.0 against the barrier adequacy criteria in Section 4.0 confirms:</w:t>
      </w:r>
    </w:p>
    <w:p>
      <w:pPr>
        <w:pStyle w:val="ListParagraph"/>
        <w:numPr>
          <w:ilvl w:val="0"/>
          <w:numId w:val="2"/>
        </w:numPr>
        <w:spacing w:after="80" w:line="258"/>
      </w:pPr>
      <w:r>
        <w:rPr>
          <w:rFonts w:ascii="Calibri" w:cs="Calibri" w:eastAsia="Calibri" w:hAnsi="Calibri"/>
          <w:sz w:val="19"/>
          <w:szCs w:val="19"/>
        </w:rPr>
        <w:t xml:space="preserve">All ten Top Events have at least 3 independent preventive barriers identified, satisfying the criterion for Intolerable/Significant-rated threats (TE-1, TE-6, TE-9, TE-10) and exceeding the criterion for Tolerable-rated threats.</w:t>
      </w:r>
    </w:p>
    <w:p>
      <w:pPr>
        <w:pStyle w:val="ListParagraph"/>
        <w:numPr>
          <w:ilvl w:val="0"/>
          <w:numId w:val="2"/>
        </w:numPr>
        <w:spacing w:after="80" w:line="258"/>
      </w:pPr>
      <w:r>
        <w:rPr>
          <w:rFonts w:ascii="Calibri" w:cs="Calibri" w:eastAsia="Calibri" w:hAnsi="Calibri"/>
          <w:sz w:val="19"/>
          <w:szCs w:val="19"/>
        </w:rPr>
        <w:t xml:space="preserve">All Top Events have at least 2 independent mitigative/recovery barriers identified; Top Events rated Category III at the initial assessment (TE-6, TE-9) each have 3 or more recovery measures, including at least one automatic-detection measure (e.g., gas/O₂ monitoring, level alarms, vibration sensors).</w:t>
      </w:r>
    </w:p>
    <w:p>
      <w:pPr>
        <w:pStyle w:val="ListParagraph"/>
        <w:numPr>
          <w:ilvl w:val="0"/>
          <w:numId w:val="2"/>
        </w:numPr>
        <w:spacing w:after="80" w:line="258"/>
      </w:pPr>
      <w:r>
        <w:rPr>
          <w:rFonts w:ascii="Calibri" w:cs="Calibri" w:eastAsia="Calibri" w:hAnsi="Calibri"/>
          <w:sz w:val="19"/>
          <w:szCs w:val="19"/>
        </w:rPr>
        <w:t xml:space="preserve">Escalation factors have been identified and controlled for the two Top Events where a credible escalation condition exists (TE-1 night-shift visibility; TE-9 adverse weather / blocked roof drainage); TE-7 additionally carries an escalation factor (high solids loading) with a corresponding control.</w:t>
      </w:r>
    </w:p>
    <w:p>
      <w:pPr>
        <w:pStyle w:val="ListParagraph"/>
        <w:numPr>
          <w:ilvl w:val="0"/>
          <w:numId w:val="2"/>
        </w:numPr>
        <w:spacing w:after="80" w:line="258"/>
      </w:pPr>
      <w:r>
        <w:rPr>
          <w:rFonts w:ascii="Calibri" w:cs="Calibri" w:eastAsia="Calibri" w:hAnsi="Calibri"/>
          <w:sz w:val="19"/>
          <w:szCs w:val="19"/>
        </w:rPr>
        <w:t xml:space="preserve">No Top Event in this register currently carries fewer barriers than required for its risk category; residual risk for all ten Top Events is Category I or II (Low–Medium, ALARP), consistent with the Project’s overall risk tolerance.</w:t>
      </w:r>
    </w:p>
    <w:p>
      <w:pPr>
        <w:spacing w:after="160" w:line="276"/>
      </w:pPr>
      <w:r>
        <w:rPr>
          <w:rFonts w:ascii="Calibri" w:cs="Calibri" w:eastAsia="Calibri" w:hAnsi="Calibri"/>
          <w:sz w:val="21"/>
          <w:szCs w:val="21"/>
        </w:rPr>
        <w:t xml:space="preserve">One item for follow-up: TE-7 (Uncontrolled Discharge of Contaminated Wash/Rinse Water) does not have a specific Consequence/Likelihood rating recorded in the source JSAs reviewed for this analysis. It is recommended that the Project HSE Manager formally risk-assess this Top Event on-site and update this register accordingly.</w:t>
      </w:r>
    </w:p>
    <w:p>
      <w:pPr>
        <w:pStyle w:val="Heading1"/>
        <w:pBdr>
          <w:bottom w:val="single" w:color="0F6B72" w:sz="8" w:space="4"/>
        </w:pBdr>
        <w:spacing w:after="160" w:before="360"/>
      </w:pPr>
      <w:r>
        <w:rPr>
          <w:rFonts w:ascii="Calibri" w:cs="Calibri" w:eastAsia="Calibri" w:hAnsi="Calibri"/>
          <w:b/>
          <w:bCs/>
          <w:color w:val="1F3864"/>
          <w:sz w:val="27"/>
          <w:szCs w:val="27"/>
        </w:rPr>
        <w:t xml:space="preserve">8.0  Recommendations &amp; Action Tracking</w:t>
      </w:r>
    </w:p>
    <w:p>
      <w:pPr>
        <w:pStyle w:val="ListParagraph"/>
        <w:numPr>
          <w:ilvl w:val="0"/>
          <w:numId w:val="2"/>
        </w:numPr>
        <w:spacing w:after="80" w:line="258"/>
      </w:pPr>
      <w:r>
        <w:rPr>
          <w:rFonts w:ascii="Calibri" w:cs="Calibri" w:eastAsia="Calibri" w:hAnsi="Calibri"/>
          <w:sz w:val="19"/>
          <w:szCs w:val="19"/>
        </w:rPr>
        <w:t xml:space="preserve">Formally risk-assess and rate TE-7 (contaminated wash/rinse water discharge) on-site and update this register (Owner: HSE Manager).</w:t>
      </w:r>
    </w:p>
    <w:p>
      <w:pPr>
        <w:pStyle w:val="ListParagraph"/>
        <w:numPr>
          <w:ilvl w:val="0"/>
          <w:numId w:val="2"/>
        </w:numPr>
        <w:spacing w:after="80" w:line="258"/>
      </w:pPr>
      <w:r>
        <w:rPr>
          <w:rFonts w:ascii="Calibri" w:cs="Calibri" w:eastAsia="Calibri" w:hAnsi="Calibri"/>
          <w:sz w:val="19"/>
          <w:szCs w:val="19"/>
        </w:rPr>
        <w:t xml:space="preserve">Verify, at each Tank Site mobilisation, that all preventive and mitigative barriers listed in Section 6.0 are physically in place and functioning before work commences (Owner: HESO / Site Supervisor).</w:t>
      </w:r>
    </w:p>
    <w:p>
      <w:pPr>
        <w:pStyle w:val="ListParagraph"/>
        <w:numPr>
          <w:ilvl w:val="0"/>
          <w:numId w:val="2"/>
        </w:numPr>
        <w:spacing w:after="80" w:line="258"/>
      </w:pPr>
      <w:r>
        <w:rPr>
          <w:rFonts w:ascii="Calibri" w:cs="Calibri" w:eastAsia="Calibri" w:hAnsi="Calibri"/>
          <w:sz w:val="19"/>
          <w:szCs w:val="19"/>
        </w:rPr>
        <w:t xml:space="preserve">Confirm statutory spill/discharge notification thresholds and timeframes with NUPRC and NESREA and cross-reference into the Environmental &amp; Spill Prevention Procedures document (Owner: HSE Manager).</w:t>
      </w:r>
    </w:p>
    <w:p>
      <w:pPr>
        <w:pStyle w:val="ListParagraph"/>
        <w:numPr>
          <w:ilvl w:val="0"/>
          <w:numId w:val="2"/>
        </w:numPr>
        <w:spacing w:after="80" w:line="258"/>
      </w:pPr>
      <w:r>
        <w:rPr>
          <w:rFonts w:ascii="Calibri" w:cs="Calibri" w:eastAsia="Calibri" w:hAnsi="Calibri"/>
          <w:sz w:val="19"/>
          <w:szCs w:val="19"/>
        </w:rPr>
        <w:t xml:space="preserve">Include this Bowtie Register in Site-Specific HSE Plan (SSHSEP) inductions so all personnel understand the barriers relevant to their tasks (Owner: Project Manager).</w:t>
      </w:r>
    </w:p>
    <w:p>
      <w:pPr>
        <w:pStyle w:val="ListParagraph"/>
        <w:numPr>
          <w:ilvl w:val="0"/>
          <w:numId w:val="2"/>
        </w:numPr>
        <w:spacing w:after="80" w:line="258"/>
      </w:pPr>
      <w:r>
        <w:rPr>
          <w:rFonts w:ascii="Calibri" w:cs="Calibri" w:eastAsia="Calibri" w:hAnsi="Calibri"/>
          <w:sz w:val="19"/>
          <w:szCs w:val="19"/>
        </w:rPr>
        <w:t xml:space="preserve">Review and re-rate this register after any Tier 2/3 spill event, any Category III/IV incident, or at least annually (Owner: HSE Manager / Safety Committee).</w:t>
      </w:r>
    </w:p>
    <w:p>
      <w:pPr>
        <w:pStyle w:val="Heading1"/>
        <w:pBdr>
          <w:bottom w:val="single" w:color="0F6B72" w:sz="8" w:space="4"/>
        </w:pBdr>
        <w:spacing w:after="160" w:before="360"/>
      </w:pPr>
      <w:r>
        <w:rPr>
          <w:rFonts w:ascii="Calibri" w:cs="Calibri" w:eastAsia="Calibri" w:hAnsi="Calibri"/>
          <w:b/>
          <w:bCs/>
          <w:color w:val="1F3864"/>
          <w:sz w:val="27"/>
          <w:szCs w:val="27"/>
        </w:rPr>
        <w:t xml:space="preserve">9.0  Review &amp; Document Control</w:t>
      </w:r>
    </w:p>
    <w:p>
      <w:pPr>
        <w:spacing w:after="160" w:line="276"/>
      </w:pPr>
      <w:r>
        <w:rPr>
          <w:rFonts w:ascii="Calibri" w:cs="Calibri" w:eastAsia="Calibri" w:hAnsi="Calibri"/>
          <w:sz w:val="21"/>
          <w:szCs w:val="21"/>
        </w:rPr>
        <w:t xml:space="preserve">This HSE Environmental Risk Analysis is controlled as part of the Project HSE Plan documentation set. Copies shall be held at the SWDA Lagos office and be available for reference at each Tank Site. It shall be reviewed at Project mobilisation, following any significant incident affecting a Top Event in this register, and at least annually, with all revisions recorded in the Document Control table on the title page.</w:t>
      </w:r>
    </w:p>
    <w:p>
      <w:pPr>
        <w:spacing w:after="40" w:before="300"/>
      </w:pPr>
      <w:r>
        <w:rPr>
          <w:rFonts w:ascii="Calibri" w:cs="Calibri" w:eastAsia="Calibri" w:hAnsi="Calibri"/>
          <w:b/>
          <w:bCs/>
          <w:sz w:val="21"/>
          <w:szCs w:val="21"/>
        </w:rPr>
        <w:t xml:space="preserve">SIGNED:</w:t>
      </w:r>
    </w:p>
    <w:p>
      <w:pPr>
        <w:spacing w:after="0"/>
      </w:pPr>
      <w:r>
        <w:rPr>
          <w:rFonts w:ascii="Calibri" w:cs="Calibri" w:eastAsia="Calibri" w:hAnsi="Calibri"/>
          <w:sz w:val="21"/>
          <w:szCs w:val="21"/>
        </w:rPr>
        <w:t xml:space="preserve">Gliffeth Wonuigwe</w:t>
      </w:r>
    </w:p>
    <w:p>
      <w:pPr>
        <w:spacing w:after="0"/>
      </w:pPr>
      <w:r>
        <w:rPr>
          <w:rFonts w:ascii="Calibri" w:cs="Calibri" w:eastAsia="Calibri" w:hAnsi="Calibri"/>
          <w:color w:val="595959"/>
          <w:sz w:val="21"/>
          <w:szCs w:val="21"/>
        </w:rPr>
        <w:t xml:space="preserve">CEO / Managing Director, South West Design Africa Limited</w:t>
      </w:r>
    </w:p>
    <w:p>
      <w:pPr>
        <w:spacing w:after="0"/>
      </w:pPr>
      <w:r>
        <w:rPr>
          <w:rFonts w:ascii="Calibri" w:cs="Calibri" w:eastAsia="Calibri" w:hAnsi="Calibri"/>
          <w:color w:val="595959"/>
          <w:sz w:val="21"/>
          <w:szCs w:val="21"/>
        </w:rPr>
        <w:t xml:space="preserve">Date: ____________________</w:t>
      </w:r>
    </w:p>
    <w:sectPr>
      <w:headerReference w:type="default" r:id="rId11"/>
      <w:footerReference w:type="default" r:id="rId12"/>
      <w:pgSz w:w="12240" w:h="15840" w:orient="portrait"/>
      <w:pgMar w:top="1350" w:right="1350" w:bottom="13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5"/>
        <w:szCs w:val="15"/>
      </w:rPr>
      <w:t xml:space="preserve">Page </w:t>
    </w:r>
    <w:r>
      <w:rPr>
        <w:rFonts w:ascii="Calibri" w:cs="Calibri" w:eastAsia="Calibri" w:hAnsi="Calibri"/>
        <w:sz w:val="15"/>
        <w:szCs w:val="15"/>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5"/>
        <w:szCs w:val="15"/>
      </w:rPr>
      <w:t xml:space="preserve">Page </w:t>
    </w:r>
    <w:r>
      <w:rPr>
        <w:rFonts w:ascii="Calibri" w:cs="Calibri" w:eastAsia="Calibri" w:hAnsi="Calibri"/>
        <w:sz w:val="15"/>
        <w:szCs w:val="15"/>
      </w:rPr>
      <w:fldChar w:fldCharType="begin"/>
      <w:instrText xml:space="preserve">PAGE</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5"/>
        <w:szCs w:val="15"/>
      </w:rPr>
      <w:t xml:space="preserve">Page </w:t>
    </w:r>
    <w:r>
      <w:rPr>
        <w:rFonts w:ascii="Calibri" w:cs="Calibri" w:eastAsia="Calibri" w:hAnsi="Calibri"/>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95959"/>
        <w:sz w:val="14"/>
        <w:szCs w:val="14"/>
      </w:rPr>
      <w:t xml:space="preserve">SWDA – RAEC 18-Tank Cleaning Project | HSE Environmental Risk Analysis (Bowtie Register)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95959"/>
        <w:sz w:val="14"/>
        <w:szCs w:val="14"/>
      </w:rPr>
      <w:t xml:space="preserve">SWDA – RAEC 18-Tank Cleaning Project | HSE Environmental Risk Analysis (Bowtie Register)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95959"/>
        <w:sz w:val="14"/>
        <w:szCs w:val="14"/>
      </w:rPr>
      <w:t xml:space="preserve">SWDA – RAEC 18-Tank Cleaning Project | HSE Environmental Risk Analysis (Bowtie Register)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8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2026-08-04T14:53:35.900Z</dcterms:created>
  <dcterms:modified xsi:type="dcterms:W3CDTF">2026-08-04T14:53:35.900Z</dcterms:modified>
</cp:coreProperties>
</file>

<file path=docProps/custom.xml><?xml version="1.0" encoding="utf-8"?>
<Properties xmlns="http://schemas.openxmlformats.org/officeDocument/2006/custom-properties" xmlns:vt="http://schemas.openxmlformats.org/officeDocument/2006/docPropsVTypes"/>
</file>