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jc w:val="center"/>
      </w:pPr>
      <w:r>
        <w:rPr>
          <w:rFonts w:ascii="Calibri" w:cs="Calibri" w:eastAsia="Calibri" w:hAnsi="Calibri"/>
          <w:b/>
          <w:bCs/>
          <w:color w:val="1F3864"/>
          <w:sz w:val="30"/>
          <w:szCs w:val="30"/>
        </w:rPr>
        <w:t xml:space="preserve">SOUTH WEST DESIGN AFRICA LIMITED</w:t>
      </w:r>
    </w:p>
    <w:p>
      <w:pPr>
        <w:spacing w:after="500" w:before="80"/>
        <w:jc w:val="center"/>
      </w:pPr>
      <w:r>
        <w:rPr>
          <w:rFonts w:ascii="Calibri" w:cs="Calibri" w:eastAsia="Calibri" w:hAnsi="Calibri"/>
          <w:i/>
          <w:iCs/>
          <w:color w:val="595959"/>
          <w:sz w:val="22"/>
          <w:szCs w:val="22"/>
        </w:rPr>
        <w:t xml:space="preserve">in partnership with Renaissance Africa Energy Company (RAEC)</w:t>
      </w:r>
    </w:p>
    <w:p>
      <w:pPr>
        <w:spacing w:after="0" w:before="900"/>
        <w:jc w:val="center"/>
      </w:pPr>
      <w:r>
        <w:rPr>
          <w:rFonts w:ascii="Calibri" w:cs="Calibri" w:eastAsia="Calibri" w:hAnsi="Calibri"/>
          <w:b/>
          <w:bCs/>
          <w:sz w:val="24"/>
          <w:szCs w:val="24"/>
        </w:rPr>
        <w:t xml:space="preserve">18-TANK AUTOMATIC TANK CLEANING (ATC) &amp; NO-MAN ENTRY (NME)</w:t>
      </w:r>
    </w:p>
    <w:p>
      <w:pPr>
        <w:spacing w:after="500" w:before="60"/>
        <w:jc w:val="center"/>
      </w:pPr>
      <w:r>
        <w:rPr>
          <w:rFonts w:ascii="Calibri" w:cs="Calibri" w:eastAsia="Calibri" w:hAnsi="Calibri"/>
          <w:b/>
          <w:bCs/>
          <w:sz w:val="24"/>
          <w:szCs w:val="24"/>
        </w:rPr>
        <w:t xml:space="preserve">TANK CLEANING, SLUDGE TREATMENT &amp; OIL RECOVERY PROJECT</w:t>
      </w:r>
    </w:p>
    <w:p>
      <w:pPr>
        <w:pBdr>
          <w:top w:val="single" w:color="0F6B72" w:sz="12" w:space="8"/>
          <w:bottom w:val="single" w:color="0F6B72" w:sz="12" w:space="8"/>
        </w:pBdr>
        <w:spacing w:after="0" w:before="900"/>
        <w:jc w:val="center"/>
      </w:pPr>
      <w:r>
        <w:rPr>
          <w:rFonts w:ascii="Calibri" w:cs="Calibri" w:eastAsia="Calibri" w:hAnsi="Calibri"/>
          <w:b/>
          <w:bCs/>
          <w:color w:val="0F6B72"/>
          <w:sz w:val="34"/>
          <w:szCs w:val="34"/>
        </w:rPr>
        <w:t xml:space="preserve">ENVIRONMENTAL &amp; SPILL PREVENTION PROCEDURES</w:t>
      </w:r>
    </w:p>
    <w:p>
      <w:pPr>
        <w:spacing w:after="40" w:before="500"/>
        <w:jc w:val="center"/>
      </w:pPr>
      <w:r>
        <w:rPr>
          <w:rFonts w:ascii="Calibri" w:cs="Calibri" w:eastAsia="Calibri" w:hAnsi="Calibri"/>
          <w:sz w:val="22"/>
          <w:szCs w:val="22"/>
        </w:rPr>
        <w:t xml:space="preserve">Contract / Tender Nos.: CW-68582 / CW-515913</w:t>
      </w:r>
    </w:p>
    <w:p>
      <w:pPr>
        <w:spacing w:after="40"/>
        <w:jc w:val="center"/>
      </w:pPr>
      <w:r>
        <w:rPr>
          <w:rFonts w:ascii="Calibri" w:cs="Calibri" w:eastAsia="Calibri" w:hAnsi="Calibri"/>
          <w:sz w:val="22"/>
          <w:szCs w:val="22"/>
        </w:rPr>
        <w:t xml:space="preserve">Project Locations: Bonny, Gbaran, Soku, Forcados &amp; Kidney Island (Port Harcourt), Nigeria</w:t>
      </w:r>
    </w:p>
    <w:p>
      <w:pPr>
        <w:spacing w:after="900"/>
        <w:jc w:val="center"/>
      </w:pPr>
      <w:r>
        <w:rPr>
          <w:rFonts w:ascii="Calibri" w:cs="Calibri" w:eastAsia="Calibri" w:hAnsi="Calibri"/>
          <w:sz w:val="22"/>
          <w:szCs w:val="22"/>
        </w:rPr>
        <w:t xml:space="preserve">Document Date: August 2026  |  Revision: 0</w:t>
      </w:r>
    </w:p>
    <w:p>
      <w:pPr>
        <w:spacing w:after="200" w:before="300"/>
      </w:pPr>
      <w:r>
        <w:rPr>
          <w:rFonts w:ascii="Calibri" w:cs="Calibri" w:eastAsia="Calibri" w:hAnsi="Calibri"/>
          <w:b/>
          <w:bCs/>
          <w:color w:val="1F3864"/>
          <w:sz w:val="22"/>
          <w:szCs w:val="22"/>
        </w:rPr>
        <w:t xml:space="preserve">Document Control</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0"/>
        <w:gridCol w:w="1500"/>
        <w:gridCol w:w="3700"/>
        <w:gridCol w:w="1700"/>
        <w:gridCol w:w="1800"/>
      </w:tblGrid>
      <w:tr>
        <w:trPr>
          <w:tblHeader/>
        </w:trPr>
        <w:tc>
          <w:tcPr>
            <w:tcW w:type="dxa" w:w="10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Rev</w:t>
            </w:r>
          </w:p>
        </w:tc>
        <w:tc>
          <w:tcPr>
            <w:tcW w:type="dxa" w:w="15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Date</w:t>
            </w:r>
          </w:p>
        </w:tc>
        <w:tc>
          <w:tcPr>
            <w:tcW w:type="dxa" w:w="37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Description</w:t>
            </w:r>
          </w:p>
        </w:tc>
        <w:tc>
          <w:tcPr>
            <w:tcW w:type="dxa" w:w="17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Status</w:t>
            </w:r>
          </w:p>
        </w:tc>
        <w:tc>
          <w:tcPr>
            <w:tcW w:type="dxa" w:w="18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Signature &amp; Date</w:t>
            </w:r>
          </w:p>
        </w:tc>
      </w:tr>
      <w:tr>
        <w:tc>
          <w:tcPr>
            <w:tcW w:type="dxa" w:w="1000"/>
            <w:tcMar>
              <w:top w:type="dxa" w:w="100"/>
              <w:left w:type="dxa" w:w="120"/>
              <w:bottom w:type="dxa" w:w="100"/>
              <w:right w:type="dxa" w:w="120"/>
            </w:tcMar>
            <w:vAlign w:val="center"/>
          </w:tcPr>
          <w:p>
            <w:r>
              <w:rPr>
                <w:rFonts w:ascii="Calibri" w:cs="Calibri" w:eastAsia="Calibri" w:hAnsi="Calibri"/>
                <w:b w:val="false"/>
                <w:bCs w:val="false"/>
                <w:sz w:val="18"/>
                <w:szCs w:val="18"/>
              </w:rPr>
              <w:t xml:space="preserve">0</w:t>
            </w:r>
          </w:p>
        </w:tc>
        <w:tc>
          <w:tcPr>
            <w:tcW w:type="dxa" w:w="1500"/>
            <w:tcMar>
              <w:top w:type="dxa" w:w="100"/>
              <w:left w:type="dxa" w:w="120"/>
              <w:bottom w:type="dxa" w:w="100"/>
              <w:right w:type="dxa" w:w="120"/>
            </w:tcMar>
            <w:vAlign w:val="center"/>
          </w:tcPr>
          <w:p>
            <w:r>
              <w:rPr>
                <w:rFonts w:ascii="Calibri" w:cs="Calibri" w:eastAsia="Calibri" w:hAnsi="Calibri"/>
                <w:b w:val="false"/>
                <w:bCs w:val="false"/>
                <w:sz w:val="18"/>
                <w:szCs w:val="18"/>
              </w:rPr>
              <w:t xml:space="preserve">Aug 2026</w:t>
            </w:r>
          </w:p>
        </w:tc>
        <w:tc>
          <w:tcPr>
            <w:tcW w:type="dxa" w:w="3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Issued for Project HSE Plan integration – Environmental &amp; Spill Prevention Procedures for the RAEC 18-Tank Cleaning Project</w:t>
            </w:r>
          </w:p>
        </w:tc>
        <w:tc>
          <w:tcPr>
            <w:tcW w:type="dxa" w:w="1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Draft for Review</w:t>
            </w:r>
          </w:p>
        </w:tc>
        <w:tc>
          <w:tcPr>
            <w:tcW w:type="dxa" w:w="1800"/>
            <w:tcBorders>
              <w:top w:val="dashed" w:color="9AA5B1" w:sz="6"/>
              <w:left w:val="dashed" w:color="9AA5B1" w:sz="6"/>
              <w:bottom w:val="dashed" w:color="9AA5B1" w:sz="6"/>
              <w:right w:val="dashed" w:color="9AA5B1" w:sz="6"/>
            </w:tcBorders>
            <w:tcMar>
              <w:top w:type="dxa" w:w="100"/>
              <w:left w:type="dxa" w:w="120"/>
              <w:bottom w:type="dxa" w:w="100"/>
              <w:right w:type="dxa" w:w="120"/>
            </w:tcMar>
            <w:vAlign w:val="center"/>
          </w:tcPr>
          <w:p>
            <w:pPr>
              <w:jc w:val="center"/>
            </w:pPr>
            <w:r>
              <w:rPr>
                <w:rFonts w:ascii="Calibri" w:cs="Calibri" w:eastAsia="Calibri" w:hAnsi="Calibri"/>
                <w:i/>
                <w:iCs/>
                <w:color w:val="8A94A3"/>
                <w:sz w:val="14"/>
                <w:szCs w:val="14"/>
              </w:rPr>
              <w:t xml:space="preserve">[Signature]</w:t>
            </w:r>
          </w:p>
          <w:p>
            <w:pPr>
              <w:jc w:val="center"/>
            </w:pPr>
            <w:r>
              <w:rPr>
                <w:rFonts w:ascii="Calibri" w:cs="Calibri" w:eastAsia="Calibri" w:hAnsi="Calibri"/>
                <w:i/>
                <w:iCs/>
                <w:color w:val="8A94A3"/>
                <w:sz w:val="14"/>
                <w:szCs w:val="14"/>
              </w:rPr>
              <w:t xml:space="preserve">[Date]</w:t>
            </w:r>
          </w:p>
        </w:tc>
      </w:tr>
    </w:tbl>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900"/>
        <w:gridCol w:w="2900"/>
        <w:gridCol w:w="2900"/>
        <w:gridCol w:w="1000"/>
      </w:tblGrid>
      <w:tr>
        <w:trPr>
          <w:tblHeader/>
        </w:trPr>
        <w:tc>
          <w:tcPr>
            <w:tcW w:type="dxa" w:w="29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Prepared By</w:t>
            </w:r>
          </w:p>
        </w:tc>
        <w:tc>
          <w:tcPr>
            <w:tcW w:type="dxa" w:w="29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Reviewed By</w:t>
            </w:r>
          </w:p>
        </w:tc>
        <w:tc>
          <w:tcPr>
            <w:tcW w:type="dxa" w:w="29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Approved By</w:t>
            </w:r>
          </w:p>
        </w:tc>
        <w:tc>
          <w:tcPr>
            <w:tcW w:type="dxa" w:w="10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Signature</w:t>
            </w:r>
          </w:p>
        </w:tc>
      </w:tr>
      <w:tr>
        <w:tc>
          <w:tcPr>
            <w:tcW w:type="dxa" w:w="2900"/>
            <w:tcMar>
              <w:top w:type="dxa" w:w="100"/>
              <w:left w:type="dxa" w:w="120"/>
              <w:bottom w:type="dxa" w:w="100"/>
              <w:right w:type="dxa" w:w="120"/>
            </w:tcMar>
            <w:vAlign w:val="center"/>
          </w:tcPr>
          <w:p>
            <w:r>
              <w:rPr>
                <w:rFonts w:ascii="Calibri" w:cs="Calibri" w:eastAsia="Calibri" w:hAnsi="Calibri"/>
                <w:color w:val="595959"/>
                <w:sz w:val="18"/>
                <w:szCs w:val="18"/>
              </w:rPr>
              <w:t xml:space="preserve">HSE Department, South West Design Africa Limited</w:t>
            </w:r>
          </w:p>
        </w:tc>
        <w:tc>
          <w:tcPr>
            <w:tcW w:type="dxa" w:w="2900"/>
            <w:tcMar>
              <w:top w:type="dxa" w:w="100"/>
              <w:left w:type="dxa" w:w="120"/>
              <w:bottom w:type="dxa" w:w="100"/>
              <w:right w:type="dxa" w:w="120"/>
            </w:tcMar>
            <w:vAlign w:val="center"/>
          </w:tcPr>
          <w:p>
            <w:r>
              <w:rPr>
                <w:rFonts w:ascii="Calibri" w:cs="Calibri" w:eastAsia="Calibri" w:hAnsi="Calibri"/>
                <w:color w:val="595959"/>
                <w:sz w:val="18"/>
                <w:szCs w:val="18"/>
              </w:rPr>
              <w:t xml:space="preserve">Project HSE Manager / QA-QC Manager</w:t>
            </w:r>
          </w:p>
        </w:tc>
        <w:tc>
          <w:tcPr>
            <w:tcW w:type="dxa" w:w="2900"/>
            <w:tcMar>
              <w:top w:type="dxa" w:w="100"/>
              <w:left w:type="dxa" w:w="120"/>
              <w:bottom w:type="dxa" w:w="100"/>
              <w:right w:type="dxa" w:w="120"/>
            </w:tcMar>
            <w:vAlign w:val="center"/>
          </w:tcPr>
          <w:p>
            <w:r>
              <w:rPr>
                <w:rFonts w:ascii="Calibri" w:cs="Calibri" w:eastAsia="Calibri" w:hAnsi="Calibri"/>
                <w:color w:val="595959"/>
                <w:sz w:val="18"/>
                <w:szCs w:val="18"/>
              </w:rPr>
              <w:t xml:space="preserve">CEO / Managing Director, SWDA</w:t>
            </w:r>
          </w:p>
        </w:tc>
        <w:tc>
          <w:tcPr>
            <w:tcW w:type="dxa" w:w="1000"/>
            <w:tcBorders>
              <w:top w:val="dashed" w:color="9AA5B1" w:sz="6"/>
              <w:left w:val="dashed" w:color="9AA5B1" w:sz="6"/>
              <w:bottom w:val="dashed" w:color="9AA5B1" w:sz="6"/>
              <w:right w:val="dashed" w:color="9AA5B1" w:sz="6"/>
            </w:tcBorders>
            <w:tcMar>
              <w:top w:type="dxa" w:w="100"/>
              <w:left w:type="dxa" w:w="120"/>
              <w:bottom w:type="dxa" w:w="100"/>
              <w:right w:type="dxa" w:w="120"/>
            </w:tcMar>
            <w:vAlign w:val="center"/>
          </w:tcPr>
          <w:p>
            <w:pPr>
              <w:jc w:val="center"/>
            </w:pPr>
            <w:r>
              <w:rPr>
                <w:rFonts w:ascii="Calibri" w:cs="Calibri" w:eastAsia="Calibri" w:hAnsi="Calibri"/>
                <w:i/>
                <w:iCs/>
                <w:color w:val="8A94A3"/>
                <w:sz w:val="13"/>
                <w:szCs w:val="13"/>
              </w:rPr>
              <w:t xml:space="preserve">[Signature]</w:t>
            </w:r>
          </w:p>
          <w:p>
            <w:pPr>
              <w:jc w:val="center"/>
            </w:pPr>
            <w:r>
              <w:rPr>
                <w:rFonts w:ascii="Calibri" w:cs="Calibri" w:eastAsia="Calibri" w:hAnsi="Calibri"/>
                <w:i/>
                <w:iCs/>
                <w:color w:val="8A94A3"/>
                <w:sz w:val="13"/>
                <w:szCs w:val="13"/>
              </w:rPr>
              <w:t xml:space="preserve">[Date]</w:t>
            </w:r>
          </w:p>
        </w:tc>
      </w:tr>
    </w:tbl>
    <w:p>
      <w:pPr>
        <w:spacing w:after="0" w:before="160"/>
      </w:pPr>
    </w:p>
    <w:p>
      <w:pPr>
        <w:sectPr>
          <w:pgSz w:w="12240" w:h="15840" w:orient="portrait"/>
          <w:pgMar w:top="1440" w:right="1350" w:bottom="1440" w:left="1350" w:header="708" w:footer="708" w:gutter="0"/>
          <w:pgNumType/>
          <w:docGrid w:linePitch="360"/>
        </w:sectPr>
      </w:pPr>
    </w:p>
    <w:p>
      <w:pPr>
        <w:pStyle w:val="Heading1"/>
        <w:spacing w:after="260"/>
      </w:pPr>
      <w:r>
        <w:rPr>
          <w:rFonts w:ascii="Calibri" w:cs="Calibri" w:eastAsia="Calibri" w:hAnsi="Calibri"/>
          <w:b/>
          <w:bCs/>
          <w:color w:val="1F3864"/>
          <w:sz w:val="27"/>
          <w:szCs w:val="27"/>
        </w:rPr>
        <w:t xml:space="preserve">TABLE OF CONTENTS</w:t>
      </w:r>
    </w:p>
    <w:p>
      <w:pPr>
        <w:tabs>
          <w:tab w:val="right" w:pos="9026" w:leader="dot"/>
        </w:tabs>
        <w:spacing w:after="130"/>
      </w:pPr>
      <w:r>
        <w:rPr>
          <w:rFonts w:ascii="Calibri" w:cs="Calibri" w:eastAsia="Calibri" w:hAnsi="Calibri"/>
          <w:sz w:val="21"/>
          <w:szCs w:val="21"/>
        </w:rPr>
        <w:t xml:space="preserve">1.0  Introduction &amp; Purpose</w:t>
      </w:r>
      <w:r>
        <w:rPr>
          <w:rFonts w:ascii="Calibri" w:cs="Calibri" w:eastAsia="Calibri" w:hAnsi="Calibri"/>
          <w:sz w:val="21"/>
          <w:szCs w:val="21"/>
        </w:rPr>
        <w:tab/>
        <w:t xml:space="preserve">3</w:t>
      </w:r>
    </w:p>
    <w:p>
      <w:pPr>
        <w:tabs>
          <w:tab w:val="right" w:pos="9026" w:leader="dot"/>
        </w:tabs>
        <w:spacing w:after="130"/>
      </w:pPr>
      <w:r>
        <w:rPr>
          <w:rFonts w:ascii="Calibri" w:cs="Calibri" w:eastAsia="Calibri" w:hAnsi="Calibri"/>
          <w:sz w:val="21"/>
          <w:szCs w:val="21"/>
        </w:rPr>
        <w:t xml:space="preserve">2.0  Scope of Application</w:t>
      </w:r>
      <w:r>
        <w:rPr>
          <w:rFonts w:ascii="Calibri" w:cs="Calibri" w:eastAsia="Calibri" w:hAnsi="Calibri"/>
          <w:sz w:val="21"/>
          <w:szCs w:val="21"/>
        </w:rPr>
        <w:tab/>
        <w:t xml:space="preserve">3</w:t>
      </w:r>
    </w:p>
    <w:p>
      <w:pPr>
        <w:tabs>
          <w:tab w:val="right" w:pos="9026" w:leader="dot"/>
        </w:tabs>
        <w:spacing w:after="130"/>
      </w:pPr>
      <w:r>
        <w:rPr>
          <w:rFonts w:ascii="Calibri" w:cs="Calibri" w:eastAsia="Calibri" w:hAnsi="Calibri"/>
          <w:sz w:val="21"/>
          <w:szCs w:val="21"/>
        </w:rPr>
        <w:t xml:space="preserve">3.0  Definitions &amp; Abbreviations</w:t>
      </w:r>
      <w:r>
        <w:rPr>
          <w:rFonts w:ascii="Calibri" w:cs="Calibri" w:eastAsia="Calibri" w:hAnsi="Calibri"/>
          <w:sz w:val="21"/>
          <w:szCs w:val="21"/>
        </w:rPr>
        <w:tab/>
        <w:t xml:space="preserve">3</w:t>
      </w:r>
    </w:p>
    <w:p>
      <w:pPr>
        <w:tabs>
          <w:tab w:val="right" w:pos="9026" w:leader="dot"/>
        </w:tabs>
        <w:spacing w:after="130"/>
      </w:pPr>
      <w:r>
        <w:rPr>
          <w:rFonts w:ascii="Calibri" w:cs="Calibri" w:eastAsia="Calibri" w:hAnsi="Calibri"/>
          <w:sz w:val="21"/>
          <w:szCs w:val="21"/>
        </w:rPr>
        <w:t xml:space="preserve">4.0  Legislative, Regulatory &amp; Standards Framework</w:t>
      </w:r>
      <w:r>
        <w:rPr>
          <w:rFonts w:ascii="Calibri" w:cs="Calibri" w:eastAsia="Calibri" w:hAnsi="Calibri"/>
          <w:sz w:val="21"/>
          <w:szCs w:val="21"/>
        </w:rPr>
        <w:tab/>
        <w:t xml:space="preserve">4</w:t>
      </w:r>
    </w:p>
    <w:p>
      <w:pPr>
        <w:tabs>
          <w:tab w:val="right" w:pos="9026" w:leader="dot"/>
        </w:tabs>
        <w:spacing w:after="130"/>
      </w:pPr>
      <w:r>
        <w:rPr>
          <w:rFonts w:ascii="Calibri" w:cs="Calibri" w:eastAsia="Calibri" w:hAnsi="Calibri"/>
          <w:sz w:val="21"/>
          <w:szCs w:val="21"/>
        </w:rPr>
        <w:t xml:space="preserve">5.0  Environmental Policy Statement</w:t>
      </w:r>
      <w:r>
        <w:rPr>
          <w:rFonts w:ascii="Calibri" w:cs="Calibri" w:eastAsia="Calibri" w:hAnsi="Calibri"/>
          <w:sz w:val="21"/>
          <w:szCs w:val="21"/>
        </w:rPr>
        <w:tab/>
        <w:t xml:space="preserve">4</w:t>
      </w:r>
    </w:p>
    <w:p>
      <w:pPr>
        <w:tabs>
          <w:tab w:val="right" w:pos="9026" w:leader="dot"/>
        </w:tabs>
        <w:spacing w:after="130"/>
      </w:pPr>
      <w:r>
        <w:rPr>
          <w:rFonts w:ascii="Calibri" w:cs="Calibri" w:eastAsia="Calibri" w:hAnsi="Calibri"/>
          <w:sz w:val="21"/>
          <w:szCs w:val="21"/>
        </w:rPr>
        <w:t xml:space="preserve">6.0  Roles &amp; Responsibilities</w:t>
      </w:r>
      <w:r>
        <w:rPr>
          <w:rFonts w:ascii="Calibri" w:cs="Calibri" w:eastAsia="Calibri" w:hAnsi="Calibri"/>
          <w:sz w:val="21"/>
          <w:szCs w:val="21"/>
        </w:rPr>
        <w:tab/>
        <w:t xml:space="preserve">6</w:t>
      </w:r>
    </w:p>
    <w:p>
      <w:pPr>
        <w:tabs>
          <w:tab w:val="right" w:pos="9026" w:leader="dot"/>
        </w:tabs>
        <w:spacing w:after="130"/>
      </w:pPr>
      <w:r>
        <w:rPr>
          <w:rFonts w:ascii="Calibri" w:cs="Calibri" w:eastAsia="Calibri" w:hAnsi="Calibri"/>
          <w:sz w:val="21"/>
          <w:szCs w:val="21"/>
        </w:rPr>
        <w:t xml:space="preserve">7.0  Environmental Aspects &amp; Impacts Assessment</w:t>
      </w:r>
      <w:r>
        <w:rPr>
          <w:rFonts w:ascii="Calibri" w:cs="Calibri" w:eastAsia="Calibri" w:hAnsi="Calibri"/>
          <w:sz w:val="21"/>
          <w:szCs w:val="21"/>
        </w:rPr>
        <w:tab/>
        <w:t xml:space="preserve">6</w:t>
      </w:r>
    </w:p>
    <w:p>
      <w:pPr>
        <w:tabs>
          <w:tab w:val="right" w:pos="9026" w:leader="dot"/>
        </w:tabs>
        <w:spacing w:after="130"/>
      </w:pPr>
      <w:r>
        <w:rPr>
          <w:rFonts w:ascii="Calibri" w:cs="Calibri" w:eastAsia="Calibri" w:hAnsi="Calibri"/>
          <w:sz w:val="21"/>
          <w:szCs w:val="21"/>
        </w:rPr>
        <w:t xml:space="preserve">8.0  Spill Prevention – Engineering &amp; Administrative Controls</w:t>
      </w:r>
      <w:r>
        <w:rPr>
          <w:rFonts w:ascii="Calibri" w:cs="Calibri" w:eastAsia="Calibri" w:hAnsi="Calibri"/>
          <w:sz w:val="21"/>
          <w:szCs w:val="21"/>
        </w:rPr>
        <w:tab/>
        <w:t xml:space="preserve">7</w:t>
      </w:r>
    </w:p>
    <w:p>
      <w:pPr>
        <w:tabs>
          <w:tab w:val="right" w:pos="9026" w:leader="dot"/>
        </w:tabs>
        <w:spacing w:after="130"/>
      </w:pPr>
      <w:r>
        <w:rPr>
          <w:rFonts w:ascii="Calibri" w:cs="Calibri" w:eastAsia="Calibri" w:hAnsi="Calibri"/>
          <w:sz w:val="21"/>
          <w:szCs w:val="21"/>
        </w:rPr>
        <w:t xml:space="preserve">9.0  Spill Classification &amp; Risk Rating</w:t>
      </w:r>
      <w:r>
        <w:rPr>
          <w:rFonts w:ascii="Calibri" w:cs="Calibri" w:eastAsia="Calibri" w:hAnsi="Calibri"/>
          <w:sz w:val="21"/>
          <w:szCs w:val="21"/>
        </w:rPr>
        <w:tab/>
        <w:t xml:space="preserve">8</w:t>
      </w:r>
    </w:p>
    <w:p>
      <w:pPr>
        <w:tabs>
          <w:tab w:val="right" w:pos="9026" w:leader="dot"/>
        </w:tabs>
        <w:spacing w:after="130"/>
      </w:pPr>
      <w:r>
        <w:rPr>
          <w:rFonts w:ascii="Calibri" w:cs="Calibri" w:eastAsia="Calibri" w:hAnsi="Calibri"/>
          <w:sz w:val="21"/>
          <w:szCs w:val="21"/>
        </w:rPr>
        <w:t xml:space="preserve">10.0  Spill Response Equipment &amp; Resources</w:t>
      </w:r>
      <w:r>
        <w:rPr>
          <w:rFonts w:ascii="Calibri" w:cs="Calibri" w:eastAsia="Calibri" w:hAnsi="Calibri"/>
          <w:sz w:val="21"/>
          <w:szCs w:val="21"/>
        </w:rPr>
        <w:tab/>
        <w:t xml:space="preserve">9</w:t>
      </w:r>
    </w:p>
    <w:p>
      <w:pPr>
        <w:tabs>
          <w:tab w:val="right" w:pos="9026" w:leader="dot"/>
        </w:tabs>
        <w:spacing w:after="130"/>
      </w:pPr>
      <w:r>
        <w:rPr>
          <w:rFonts w:ascii="Calibri" w:cs="Calibri" w:eastAsia="Calibri" w:hAnsi="Calibri"/>
          <w:sz w:val="21"/>
          <w:szCs w:val="21"/>
        </w:rPr>
        <w:t xml:space="preserve">11.0  General Spill Response Procedure</w:t>
      </w:r>
      <w:r>
        <w:rPr>
          <w:rFonts w:ascii="Calibri" w:cs="Calibri" w:eastAsia="Calibri" w:hAnsi="Calibri"/>
          <w:sz w:val="21"/>
          <w:szCs w:val="21"/>
        </w:rPr>
        <w:tab/>
        <w:t xml:space="preserve">9</w:t>
      </w:r>
    </w:p>
    <w:p>
      <w:pPr>
        <w:tabs>
          <w:tab w:val="right" w:pos="9026" w:leader="dot"/>
        </w:tabs>
        <w:spacing w:after="130"/>
      </w:pPr>
      <w:r>
        <w:rPr>
          <w:rFonts w:ascii="Calibri" w:cs="Calibri" w:eastAsia="Calibri" w:hAnsi="Calibri"/>
          <w:sz w:val="21"/>
          <w:szCs w:val="21"/>
        </w:rPr>
        <w:t xml:space="preserve">12.0  Activity-Specific Spill Prevention &amp; Response Procedures</w:t>
      </w:r>
      <w:r>
        <w:rPr>
          <w:rFonts w:ascii="Calibri" w:cs="Calibri" w:eastAsia="Calibri" w:hAnsi="Calibri"/>
          <w:sz w:val="21"/>
          <w:szCs w:val="21"/>
        </w:rPr>
        <w:tab/>
        <w:t xml:space="preserve">11</w:t>
      </w:r>
    </w:p>
    <w:p>
      <w:pPr>
        <w:tabs>
          <w:tab w:val="right" w:pos="9026" w:leader="dot"/>
        </w:tabs>
        <w:spacing w:after="130"/>
      </w:pPr>
      <w:r>
        <w:rPr>
          <w:rFonts w:ascii="Calibri" w:cs="Calibri" w:eastAsia="Calibri" w:hAnsi="Calibri"/>
          <w:sz w:val="21"/>
          <w:szCs w:val="21"/>
        </w:rPr>
        <w:t xml:space="preserve">13.0  Spill Notification &amp; Reporting</w:t>
      </w:r>
      <w:r>
        <w:rPr>
          <w:rFonts w:ascii="Calibri" w:cs="Calibri" w:eastAsia="Calibri" w:hAnsi="Calibri"/>
          <w:sz w:val="21"/>
          <w:szCs w:val="21"/>
        </w:rPr>
        <w:tab/>
        <w:t xml:space="preserve">12</w:t>
      </w:r>
    </w:p>
    <w:p>
      <w:pPr>
        <w:tabs>
          <w:tab w:val="right" w:pos="9026" w:leader="dot"/>
        </w:tabs>
        <w:spacing w:after="130"/>
      </w:pPr>
      <w:r>
        <w:rPr>
          <w:rFonts w:ascii="Calibri" w:cs="Calibri" w:eastAsia="Calibri" w:hAnsi="Calibri"/>
          <w:sz w:val="21"/>
          <w:szCs w:val="21"/>
        </w:rPr>
        <w:t xml:space="preserve">14.0  Spill Waste Management &amp; Disposal</w:t>
      </w:r>
      <w:r>
        <w:rPr>
          <w:rFonts w:ascii="Calibri" w:cs="Calibri" w:eastAsia="Calibri" w:hAnsi="Calibri"/>
          <w:sz w:val="21"/>
          <w:szCs w:val="21"/>
        </w:rPr>
        <w:tab/>
        <w:t xml:space="preserve">12</w:t>
      </w:r>
    </w:p>
    <w:p>
      <w:pPr>
        <w:tabs>
          <w:tab w:val="right" w:pos="9026" w:leader="dot"/>
        </w:tabs>
        <w:spacing w:after="130"/>
      </w:pPr>
      <w:r>
        <w:rPr>
          <w:rFonts w:ascii="Calibri" w:cs="Calibri" w:eastAsia="Calibri" w:hAnsi="Calibri"/>
          <w:sz w:val="21"/>
          <w:szCs w:val="21"/>
        </w:rPr>
        <w:t xml:space="preserve">15.0  Site Restoration</w:t>
      </w:r>
      <w:r>
        <w:rPr>
          <w:rFonts w:ascii="Calibri" w:cs="Calibri" w:eastAsia="Calibri" w:hAnsi="Calibri"/>
          <w:sz w:val="21"/>
          <w:szCs w:val="21"/>
        </w:rPr>
        <w:tab/>
        <w:t xml:space="preserve">13</w:t>
      </w:r>
    </w:p>
    <w:p>
      <w:pPr>
        <w:tabs>
          <w:tab w:val="right" w:pos="9026" w:leader="dot"/>
        </w:tabs>
        <w:spacing w:after="130"/>
      </w:pPr>
      <w:r>
        <w:rPr>
          <w:rFonts w:ascii="Calibri" w:cs="Calibri" w:eastAsia="Calibri" w:hAnsi="Calibri"/>
          <w:sz w:val="21"/>
          <w:szCs w:val="21"/>
        </w:rPr>
        <w:t xml:space="preserve">16.0  Training, Drills &amp; Competency</w:t>
      </w:r>
      <w:r>
        <w:rPr>
          <w:rFonts w:ascii="Calibri" w:cs="Calibri" w:eastAsia="Calibri" w:hAnsi="Calibri"/>
          <w:sz w:val="21"/>
          <w:szCs w:val="21"/>
        </w:rPr>
        <w:tab/>
        <w:t xml:space="preserve">13</w:t>
      </w:r>
    </w:p>
    <w:p>
      <w:pPr>
        <w:tabs>
          <w:tab w:val="right" w:pos="9026" w:leader="dot"/>
        </w:tabs>
        <w:spacing w:after="130"/>
      </w:pPr>
      <w:r>
        <w:rPr>
          <w:rFonts w:ascii="Calibri" w:cs="Calibri" w:eastAsia="Calibri" w:hAnsi="Calibri"/>
          <w:sz w:val="21"/>
          <w:szCs w:val="21"/>
        </w:rPr>
        <w:t xml:space="preserve">17.0  Monitoring, Inspection &amp; Audit</w:t>
      </w:r>
      <w:r>
        <w:rPr>
          <w:rFonts w:ascii="Calibri" w:cs="Calibri" w:eastAsia="Calibri" w:hAnsi="Calibri"/>
          <w:sz w:val="21"/>
          <w:szCs w:val="21"/>
        </w:rPr>
        <w:tab/>
        <w:t xml:space="preserve">13</w:t>
      </w:r>
    </w:p>
    <w:p>
      <w:pPr>
        <w:tabs>
          <w:tab w:val="right" w:pos="9026" w:leader="dot"/>
        </w:tabs>
        <w:spacing w:after="130"/>
      </w:pPr>
      <w:r>
        <w:rPr>
          <w:rFonts w:ascii="Calibri" w:cs="Calibri" w:eastAsia="Calibri" w:hAnsi="Calibri"/>
          <w:sz w:val="21"/>
          <w:szCs w:val="21"/>
        </w:rPr>
        <w:t xml:space="preserve">18.0  Records &amp; Document Control</w:t>
      </w:r>
      <w:r>
        <w:rPr>
          <w:rFonts w:ascii="Calibri" w:cs="Calibri" w:eastAsia="Calibri" w:hAnsi="Calibri"/>
          <w:sz w:val="21"/>
          <w:szCs w:val="21"/>
        </w:rPr>
        <w:tab/>
        <w:t xml:space="preserve">13</w:t>
      </w:r>
    </w:p>
    <w:p>
      <w:pPr>
        <w:tabs>
          <w:tab w:val="right" w:pos="9026" w:leader="dot"/>
        </w:tabs>
        <w:spacing w:after="130"/>
      </w:pPr>
      <w:r>
        <w:rPr>
          <w:rFonts w:ascii="Calibri" w:cs="Calibri" w:eastAsia="Calibri" w:hAnsi="Calibri"/>
          <w:sz w:val="21"/>
          <w:szCs w:val="21"/>
        </w:rPr>
        <w:t xml:space="preserve">Attachment A – Spill Kit Inventory &amp; Locations</w:t>
      </w:r>
      <w:r>
        <w:rPr>
          <w:rFonts w:ascii="Calibri" w:cs="Calibri" w:eastAsia="Calibri" w:hAnsi="Calibri"/>
          <w:sz w:val="21"/>
          <w:szCs w:val="21"/>
        </w:rPr>
        <w:tab/>
        <w:t xml:space="preserve">14</w:t>
      </w:r>
    </w:p>
    <w:p>
      <w:pPr>
        <w:tabs>
          <w:tab w:val="right" w:pos="9026" w:leader="dot"/>
        </w:tabs>
        <w:spacing w:after="130"/>
      </w:pPr>
      <w:r>
        <w:rPr>
          <w:rFonts w:ascii="Calibri" w:cs="Calibri" w:eastAsia="Calibri" w:hAnsi="Calibri"/>
          <w:sz w:val="21"/>
          <w:szCs w:val="21"/>
        </w:rPr>
        <w:t xml:space="preserve">Attachment B – Spill / Environmental Incident Report Form</w:t>
      </w:r>
      <w:r>
        <w:rPr>
          <w:rFonts w:ascii="Calibri" w:cs="Calibri" w:eastAsia="Calibri" w:hAnsi="Calibri"/>
          <w:sz w:val="21"/>
          <w:szCs w:val="21"/>
        </w:rPr>
        <w:tab/>
        <w:t xml:space="preserve">14</w:t>
      </w:r>
    </w:p>
    <w:p>
      <w:pPr>
        <w:tabs>
          <w:tab w:val="right" w:pos="9026" w:leader="dot"/>
        </w:tabs>
        <w:spacing w:after="130"/>
      </w:pPr>
      <w:r>
        <w:rPr>
          <w:rFonts w:ascii="Calibri" w:cs="Calibri" w:eastAsia="Calibri" w:hAnsi="Calibri"/>
          <w:sz w:val="21"/>
          <w:szCs w:val="21"/>
        </w:rPr>
        <w:t xml:space="preserve">Attachment C – Spill Notification Flow Chart</w:t>
      </w:r>
      <w:r>
        <w:rPr>
          <w:rFonts w:ascii="Calibri" w:cs="Calibri" w:eastAsia="Calibri" w:hAnsi="Calibri"/>
          <w:sz w:val="21"/>
          <w:szCs w:val="21"/>
        </w:rPr>
        <w:tab/>
        <w:t xml:space="preserve">15</w:t>
      </w:r>
    </w:p>
    <w:p>
      <w:pPr>
        <w:sectPr>
          <w:headerReference w:type="default" r:id="rId7"/>
          <w:footerReference w:type="default" r:id="rId8"/>
          <w:pgSz w:w="12240" w:h="15840" w:orient="portrait"/>
          <w:pgMar w:top="1440" w:right="1350" w:bottom="1440" w:left="1350" w:header="708" w:footer="708" w:gutter="0"/>
          <w:pgNumType/>
          <w:docGrid w:linePitch="360"/>
        </w:sectPr>
      </w:pPr>
    </w:p>
    <w:p>
      <w:pPr>
        <w:pStyle w:val="Heading1"/>
        <w:pBdr>
          <w:bottom w:val="single" w:color="0F6B72" w:sz="8" w:space="4"/>
        </w:pBdr>
        <w:spacing w:after="160" w:before="360"/>
      </w:pPr>
      <w:r>
        <w:rPr>
          <w:rFonts w:ascii="Calibri" w:cs="Calibri" w:eastAsia="Calibri" w:hAnsi="Calibri"/>
          <w:b/>
          <w:bCs/>
          <w:color w:val="1F3864"/>
          <w:sz w:val="27"/>
          <w:szCs w:val="27"/>
        </w:rPr>
        <w:t xml:space="preserve">1.0  Introduction &amp; Purpose</w:t>
      </w:r>
    </w:p>
    <w:p>
      <w:pPr>
        <w:spacing w:after="160" w:line="276"/>
      </w:pPr>
      <w:r>
        <w:rPr>
          <w:rFonts w:ascii="Calibri" w:cs="Calibri" w:eastAsia="Calibri" w:hAnsi="Calibri"/>
          <w:sz w:val="21"/>
          <w:szCs w:val="21"/>
        </w:rPr>
        <w:t xml:space="preserve">This Environmental &amp; Spill Prevention Procedures document forms part of the overall Health, Safety &amp; Environmental Plan (HSEP) prepared by South West Design Africa Limited (SWDA) for the Automatic Tank Cleaning (ATC) &amp; No-Man Entry (NME) Tank Cleaning, Sludge Treatment, Oil Recovery &amp; Waste Management Project undertaken for Renaissance Africa Energy Company (RAEC), Contract / Tender Nos.: CW-68582 / CW-515913.</w:t>
      </w:r>
    </w:p>
    <w:p>
      <w:pPr>
        <w:spacing w:after="160" w:line="276"/>
      </w:pPr>
      <w:r>
        <w:rPr>
          <w:rFonts w:ascii="Calibri" w:cs="Calibri" w:eastAsia="Calibri" w:hAnsi="Calibri"/>
          <w:sz w:val="21"/>
          <w:szCs w:val="21"/>
        </w:rPr>
        <w:t xml:space="preserve">Tank cleaning, de-sludging and oil recovery operations inherently involve the handling of crude oil, oily sludge, wash water, chemicals and diluents at above-ground storage tanks located across five (5) Renaissance facilities in the Niger Delta. These activities carry a risk of spillage, leakage or uncontrolled discharge that could impact soil, groundwater, surface water and sensitive host-community environments if not properly prevented, controlled and responded to.</w:t>
      </w:r>
    </w:p>
    <w:p>
      <w:pPr>
        <w:spacing w:after="160" w:line="276"/>
      </w:pPr>
      <w:r>
        <w:rPr>
          <w:rFonts w:ascii="Calibri" w:cs="Calibri" w:eastAsia="Calibri" w:hAnsi="Calibri"/>
          <w:sz w:val="21"/>
          <w:szCs w:val="21"/>
        </w:rPr>
        <w:t xml:space="preserve">The purpose of this document is to:</w:t>
      </w:r>
    </w:p>
    <w:p>
      <w:pPr>
        <w:pStyle w:val="ListParagraph"/>
        <w:numPr>
          <w:ilvl w:val="0"/>
          <w:numId w:val="2"/>
        </w:numPr>
        <w:spacing w:after="90" w:line="264"/>
      </w:pPr>
      <w:r>
        <w:rPr>
          <w:rFonts w:ascii="Calibri" w:cs="Calibri" w:eastAsia="Calibri" w:hAnsi="Calibri"/>
          <w:sz w:val="21"/>
          <w:szCs w:val="21"/>
        </w:rPr>
        <w:t xml:space="preserve">Set out the environmental aspects and impacts associated with SWDA’s tank cleaning operations;</w:t>
      </w:r>
    </w:p>
    <w:p>
      <w:pPr>
        <w:pStyle w:val="ListParagraph"/>
        <w:numPr>
          <w:ilvl w:val="0"/>
          <w:numId w:val="2"/>
        </w:numPr>
        <w:spacing w:after="90" w:line="264"/>
      </w:pPr>
      <w:r>
        <w:rPr>
          <w:rFonts w:ascii="Calibri" w:cs="Calibri" w:eastAsia="Calibri" w:hAnsi="Calibri"/>
          <w:sz w:val="21"/>
          <w:szCs w:val="21"/>
        </w:rPr>
        <w:t xml:space="preserve">Define the engineering and administrative controls used to prevent spills, leaks and uncontrolled releases;</w:t>
      </w:r>
    </w:p>
    <w:p>
      <w:pPr>
        <w:pStyle w:val="ListParagraph"/>
        <w:numPr>
          <w:ilvl w:val="0"/>
          <w:numId w:val="2"/>
        </w:numPr>
        <w:spacing w:after="90" w:line="264"/>
      </w:pPr>
      <w:r>
        <w:rPr>
          <w:rFonts w:ascii="Calibri" w:cs="Calibri" w:eastAsia="Calibri" w:hAnsi="Calibri"/>
          <w:sz w:val="21"/>
          <w:szCs w:val="21"/>
        </w:rPr>
        <w:t xml:space="preserve">Establish a structured, tiered spill response procedure, from first discovery through containment, clean-up, notification and site restoration;</w:t>
      </w:r>
    </w:p>
    <w:p>
      <w:pPr>
        <w:pStyle w:val="ListParagraph"/>
        <w:numPr>
          <w:ilvl w:val="0"/>
          <w:numId w:val="2"/>
        </w:numPr>
        <w:spacing w:after="90" w:line="264"/>
      </w:pPr>
      <w:r>
        <w:rPr>
          <w:rFonts w:ascii="Calibri" w:cs="Calibri" w:eastAsia="Calibri" w:hAnsi="Calibri"/>
          <w:sz w:val="21"/>
          <w:szCs w:val="21"/>
        </w:rPr>
        <w:t xml:space="preserve">Identify roles, responsibilities, equipment and training requirements for effective spill prevention and response; and</w:t>
      </w:r>
    </w:p>
    <w:p>
      <w:pPr>
        <w:pStyle w:val="ListParagraph"/>
        <w:numPr>
          <w:ilvl w:val="0"/>
          <w:numId w:val="2"/>
        </w:numPr>
        <w:spacing w:after="90" w:line="264"/>
      </w:pPr>
      <w:r>
        <w:rPr>
          <w:rFonts w:ascii="Calibri" w:cs="Calibri" w:eastAsia="Calibri" w:hAnsi="Calibri"/>
          <w:sz w:val="21"/>
          <w:szCs w:val="21"/>
        </w:rPr>
        <w:t xml:space="preserve">Ensure full compliance with Nigerian environmental legislation, Renaissance/RAEC requirements and recognised international standards.</w:t>
      </w:r>
    </w:p>
    <w:p>
      <w:pPr>
        <w:pStyle w:val="Heading1"/>
        <w:pBdr>
          <w:bottom w:val="single" w:color="0F6B72" w:sz="8" w:space="4"/>
        </w:pBdr>
        <w:spacing w:after="160" w:before="360"/>
      </w:pPr>
      <w:r>
        <w:rPr>
          <w:rFonts w:ascii="Calibri" w:cs="Calibri" w:eastAsia="Calibri" w:hAnsi="Calibri"/>
          <w:b/>
          <w:bCs/>
          <w:color w:val="1F3864"/>
          <w:sz w:val="27"/>
          <w:szCs w:val="27"/>
        </w:rPr>
        <w:t xml:space="preserve">2.0  Scope of Application</w:t>
      </w:r>
    </w:p>
    <w:p>
      <w:pPr>
        <w:spacing w:after="160" w:line="276"/>
      </w:pPr>
      <w:r>
        <w:rPr>
          <w:rFonts w:ascii="Calibri" w:cs="Calibri" w:eastAsia="Calibri" w:hAnsi="Calibri"/>
          <w:sz w:val="21"/>
          <w:szCs w:val="21"/>
        </w:rPr>
        <w:t xml:space="preserve">This document applies to all SWDA employees, subcontractors, vendors and visitors engaged in ATC/NME tank cleaning, sludge treatment, oil recovery, waste handling, chemical handling, refuelling, and associated logistics activities at all Project tank sites (Bonny, Gbaran, Soku, Forcados) and support locations (including the Kidney Island laydown area / warehouse, Port Harcourt), for the duration of the Project.</w:t>
      </w:r>
    </w:p>
    <w:p>
      <w:pPr>
        <w:spacing w:after="160" w:line="276"/>
      </w:pPr>
      <w:r>
        <w:rPr>
          <w:rFonts w:ascii="Calibri" w:cs="Calibri" w:eastAsia="Calibri" w:hAnsi="Calibri"/>
          <w:sz w:val="21"/>
          <w:szCs w:val="21"/>
        </w:rPr>
        <w:t xml:space="preserve">It covers prevention of, and response to, spills or releases of crude oil, oily sludge, hydraulic and lubricating oils, diesel fuel, tank-cleaning chemicals/detergents, and contaminated wash water, whether occurring on land, on a bunded pad, on a vessel/pontoon, or during transport between site and disposal/treatment locations.</w:t>
      </w:r>
    </w:p>
    <w:p>
      <w:pPr>
        <w:pStyle w:val="Heading1"/>
        <w:pBdr>
          <w:bottom w:val="single" w:color="0F6B72" w:sz="8" w:space="4"/>
        </w:pBdr>
        <w:spacing w:after="160" w:before="360"/>
      </w:pPr>
      <w:r>
        <w:rPr>
          <w:rFonts w:ascii="Calibri" w:cs="Calibri" w:eastAsia="Calibri" w:hAnsi="Calibri"/>
          <w:b/>
          <w:bCs/>
          <w:color w:val="1F3864"/>
          <w:sz w:val="27"/>
          <w:szCs w:val="27"/>
        </w:rPr>
        <w:t xml:space="preserve">3.0  Definitions &amp; Abbreviations</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900"/>
        <w:gridCol w:w="7800"/>
      </w:tblGrid>
      <w:tr>
        <w:trPr>
          <w:tblHeader/>
        </w:trPr>
        <w:tc>
          <w:tcPr>
            <w:tcW w:type="dxa" w:w="19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Term</w:t>
            </w:r>
          </w:p>
        </w:tc>
        <w:tc>
          <w:tcPr>
            <w:tcW w:type="dxa" w:w="78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Definition</w:t>
            </w:r>
          </w:p>
        </w:tc>
      </w:tr>
      <w:tr>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ATC / NME</w:t>
            </w:r>
          </w:p>
        </w:tc>
        <w:tc>
          <w:tcPr>
            <w:tcW w:type="dxa" w:w="7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Automatic Tank Cleaning / No-Man Entry – SWDA’s mechanised, closed tank-cleaning system.</w:t>
            </w:r>
          </w:p>
        </w:tc>
      </w:tr>
      <w:tr>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SDS</w:t>
            </w:r>
          </w:p>
        </w:tc>
        <w:tc>
          <w:tcPr>
            <w:tcW w:type="dxa" w:w="7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Safety Data Sheet for a hazardous chemical or product.</w:t>
            </w:r>
          </w:p>
        </w:tc>
      </w:tr>
      <w:tr>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PTW</w:t>
            </w:r>
          </w:p>
        </w:tc>
        <w:tc>
          <w:tcPr>
            <w:tcW w:type="dxa" w:w="7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Permit to Work – SWDA’s formal work authorisation and control system.</w:t>
            </w:r>
          </w:p>
        </w:tc>
      </w:tr>
      <w:tr>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JSA / JHA</w:t>
            </w:r>
          </w:p>
        </w:tc>
        <w:tc>
          <w:tcPr>
            <w:tcW w:type="dxa" w:w="7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Job Safety Analysis / Job Hazard Analysis.</w:t>
            </w:r>
          </w:p>
        </w:tc>
      </w:tr>
      <w:tr>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HESO</w:t>
            </w:r>
          </w:p>
        </w:tc>
        <w:tc>
          <w:tcPr>
            <w:tcW w:type="dxa" w:w="7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Health, Environment &amp; Safety Officer.</w:t>
            </w:r>
          </w:p>
        </w:tc>
      </w:tr>
      <w:tr>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WMT</w:t>
            </w:r>
          </w:p>
        </w:tc>
        <w:tc>
          <w:tcPr>
            <w:tcW w:type="dxa" w:w="7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Waste Management Team.</w:t>
            </w:r>
          </w:p>
        </w:tc>
      </w:tr>
      <w:tr>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IBC</w:t>
            </w:r>
          </w:p>
        </w:tc>
        <w:tc>
          <w:tcPr>
            <w:tcW w:type="dxa" w:w="7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Intermediate Bulk Container.</w:t>
            </w:r>
          </w:p>
        </w:tc>
      </w:tr>
      <w:tr>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Bund / Remote Bund</w:t>
            </w:r>
          </w:p>
        </w:tc>
        <w:tc>
          <w:tcPr>
            <w:tcW w:type="dxa" w:w="7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A secondary containment structure or area designed to hold any liquid released from a tank, vessel or process module.</w:t>
            </w:r>
          </w:p>
        </w:tc>
      </w:tr>
      <w:tr>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EGASPIN</w:t>
            </w:r>
          </w:p>
        </w:tc>
        <w:tc>
          <w:tcPr>
            <w:tcW w:type="dxa" w:w="7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Environmental Guidelines &amp; Standards for the Petroleum Industry in Nigeria.</w:t>
            </w:r>
          </w:p>
        </w:tc>
      </w:tr>
      <w:tr>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NUPRC (DPR)</w:t>
            </w:r>
          </w:p>
        </w:tc>
        <w:tc>
          <w:tcPr>
            <w:tcW w:type="dxa" w:w="7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Nigerian Upstream Petroleum Regulatory Commission (formerly Department of Petroleum Resources).</w:t>
            </w:r>
          </w:p>
        </w:tc>
      </w:tr>
      <w:tr>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FEPA / NESREA</w:t>
            </w:r>
          </w:p>
        </w:tc>
        <w:tc>
          <w:tcPr>
            <w:tcW w:type="dxa" w:w="7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Federal Environmental Protection Agency Act 1988 and its successor regulatory framework, NESREA.</w:t>
            </w:r>
          </w:p>
        </w:tc>
      </w:tr>
      <w:tr>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Tier 1 / 2 / 3 Spill</w:t>
            </w:r>
          </w:p>
        </w:tc>
        <w:tc>
          <w:tcPr>
            <w:tcW w:type="dxa" w:w="7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SWDA’s three-tier spill severity classification, see Section 9.0.</w:t>
            </w:r>
          </w:p>
        </w:tc>
      </w:tr>
    </w:tbl>
    <w:p>
      <w:pPr>
        <w:pStyle w:val="Heading1"/>
        <w:pBdr>
          <w:bottom w:val="single" w:color="0F6B72" w:sz="8" w:space="4"/>
        </w:pBdr>
        <w:spacing w:after="160" w:before="360"/>
      </w:pPr>
      <w:r>
        <w:rPr>
          <w:rFonts w:ascii="Calibri" w:cs="Calibri" w:eastAsia="Calibri" w:hAnsi="Calibri"/>
          <w:b/>
          <w:bCs/>
          <w:color w:val="1F3864"/>
          <w:sz w:val="27"/>
          <w:szCs w:val="27"/>
        </w:rPr>
        <w:t xml:space="preserve">4.0  Legislative, Regulatory &amp; Standards Framework</w:t>
      </w:r>
    </w:p>
    <w:p>
      <w:pPr>
        <w:spacing w:after="160" w:line="276"/>
      </w:pPr>
      <w:r>
        <w:rPr>
          <w:rFonts w:ascii="Calibri" w:cs="Calibri" w:eastAsia="Calibri" w:hAnsi="Calibri"/>
          <w:sz w:val="21"/>
          <w:szCs w:val="21"/>
        </w:rPr>
        <w:t xml:space="preserve">SWDA’s environmental and spill prevention procedures are developed and implemented in accordance with the following legislative, regulatory and industry standards, consistent with the Project HSE Plan, Waste Management Plan (WMP) and Project Execution &amp; Risk Management Plan:</w:t>
      </w:r>
    </w:p>
    <w:p>
      <w:pPr>
        <w:pStyle w:val="ListParagraph"/>
        <w:numPr>
          <w:ilvl w:val="0"/>
          <w:numId w:val="2"/>
        </w:numPr>
        <w:spacing w:after="90" w:line="264"/>
      </w:pPr>
      <w:r>
        <w:rPr>
          <w:rFonts w:ascii="Calibri" w:cs="Calibri" w:eastAsia="Calibri" w:hAnsi="Calibri"/>
          <w:sz w:val="21"/>
          <w:szCs w:val="21"/>
        </w:rPr>
        <w:t xml:space="preserve">Federal Environmental Protection Agency (FEPA) Act, 1988, and the National Environmental Standards and Regulations Enforcement Agency (NESREA) framework;</w:t>
      </w:r>
    </w:p>
    <w:p>
      <w:pPr>
        <w:pStyle w:val="ListParagraph"/>
        <w:numPr>
          <w:ilvl w:val="0"/>
          <w:numId w:val="2"/>
        </w:numPr>
        <w:spacing w:after="90" w:line="264"/>
      </w:pPr>
      <w:r>
        <w:rPr>
          <w:rFonts w:ascii="Calibri" w:cs="Calibri" w:eastAsia="Calibri" w:hAnsi="Calibri"/>
          <w:sz w:val="21"/>
          <w:szCs w:val="21"/>
        </w:rPr>
        <w:t xml:space="preserve">Environmental Guidelines &amp; Standards for the Petroleum Industry in Nigeria (EGASPIN);</w:t>
      </w:r>
    </w:p>
    <w:p>
      <w:pPr>
        <w:pStyle w:val="ListParagraph"/>
        <w:numPr>
          <w:ilvl w:val="0"/>
          <w:numId w:val="2"/>
        </w:numPr>
        <w:spacing w:after="90" w:line="264"/>
      </w:pPr>
      <w:r>
        <w:rPr>
          <w:rFonts w:ascii="Calibri" w:cs="Calibri" w:eastAsia="Calibri" w:hAnsi="Calibri"/>
          <w:sz w:val="21"/>
          <w:szCs w:val="21"/>
        </w:rPr>
        <w:t xml:space="preserve">Petroleum Industry Act (PIA), 2021;</w:t>
      </w:r>
    </w:p>
    <w:p>
      <w:pPr>
        <w:pStyle w:val="ListParagraph"/>
        <w:numPr>
          <w:ilvl w:val="0"/>
          <w:numId w:val="2"/>
        </w:numPr>
        <w:spacing w:after="90" w:line="264"/>
      </w:pPr>
      <w:r>
        <w:rPr>
          <w:rFonts w:ascii="Calibri" w:cs="Calibri" w:eastAsia="Calibri" w:hAnsi="Calibri"/>
          <w:sz w:val="21"/>
          <w:szCs w:val="21"/>
        </w:rPr>
        <w:t xml:space="preserve">Nigerian Upstream Petroleum Regulatory Commission (NUPRC) waste, effluent and spill reporting requirements (formerly DPR);</w:t>
      </w:r>
    </w:p>
    <w:p>
      <w:pPr>
        <w:pStyle w:val="ListParagraph"/>
        <w:numPr>
          <w:ilvl w:val="0"/>
          <w:numId w:val="2"/>
        </w:numPr>
        <w:spacing w:after="90" w:line="264"/>
      </w:pPr>
      <w:r>
        <w:rPr>
          <w:rFonts w:ascii="Calibri" w:cs="Calibri" w:eastAsia="Calibri" w:hAnsi="Calibri"/>
          <w:sz w:val="21"/>
          <w:szCs w:val="21"/>
        </w:rPr>
        <w:t xml:space="preserve">ISO 14001 Environmental Management System requirements;</w:t>
      </w:r>
    </w:p>
    <w:p>
      <w:pPr>
        <w:pStyle w:val="ListParagraph"/>
        <w:numPr>
          <w:ilvl w:val="0"/>
          <w:numId w:val="2"/>
        </w:numPr>
        <w:spacing w:after="90" w:line="264"/>
      </w:pPr>
      <w:r>
        <w:rPr>
          <w:rFonts w:ascii="Calibri" w:cs="Calibri" w:eastAsia="Calibri" w:hAnsi="Calibri"/>
          <w:sz w:val="21"/>
          <w:szCs w:val="21"/>
        </w:rPr>
        <w:t xml:space="preserve">API 2015 – Requirements for Safe Entry and Cleaning of Oil Storage Tanks;</w:t>
      </w:r>
    </w:p>
    <w:p>
      <w:pPr>
        <w:pStyle w:val="ListParagraph"/>
        <w:numPr>
          <w:ilvl w:val="0"/>
          <w:numId w:val="2"/>
        </w:numPr>
        <w:spacing w:after="90" w:line="264"/>
      </w:pPr>
      <w:r>
        <w:rPr>
          <w:rFonts w:ascii="Calibri" w:cs="Calibri" w:eastAsia="Calibri" w:hAnsi="Calibri"/>
          <w:sz w:val="21"/>
          <w:szCs w:val="21"/>
        </w:rPr>
        <w:t xml:space="preserve">API 2016 – Guidelines &amp; Procedures for Entering and Cleaning Petroleum Storage Tanks;</w:t>
      </w:r>
    </w:p>
    <w:p>
      <w:pPr>
        <w:pStyle w:val="ListParagraph"/>
        <w:numPr>
          <w:ilvl w:val="0"/>
          <w:numId w:val="2"/>
        </w:numPr>
        <w:spacing w:after="90" w:line="264"/>
      </w:pPr>
      <w:r>
        <w:rPr>
          <w:rFonts w:ascii="Calibri" w:cs="Calibri" w:eastAsia="Calibri" w:hAnsi="Calibri"/>
          <w:sz w:val="21"/>
          <w:szCs w:val="21"/>
        </w:rPr>
        <w:t xml:space="preserve">NFPA 326 – Safeguarding of Tanks and Containers for Entry, Cleaning and Repair;</w:t>
      </w:r>
    </w:p>
    <w:p>
      <w:pPr>
        <w:pStyle w:val="ListParagraph"/>
        <w:numPr>
          <w:ilvl w:val="0"/>
          <w:numId w:val="2"/>
        </w:numPr>
        <w:spacing w:after="90" w:line="264"/>
      </w:pPr>
      <w:r>
        <w:rPr>
          <w:rFonts w:ascii="Calibri" w:cs="Calibri" w:eastAsia="Calibri" w:hAnsi="Calibri"/>
          <w:sz w:val="21"/>
          <w:szCs w:val="21"/>
        </w:rPr>
        <w:t xml:space="preserve">EU Directives 99/92/EC (ATEX 137) and 94/9/EC (ATEX 95) for equipment and workplaces used in potentially explosive atmospheres;</w:t>
      </w:r>
    </w:p>
    <w:p>
      <w:pPr>
        <w:pStyle w:val="ListParagraph"/>
        <w:numPr>
          <w:ilvl w:val="0"/>
          <w:numId w:val="2"/>
        </w:numPr>
        <w:spacing w:after="90" w:line="264"/>
      </w:pPr>
      <w:r>
        <w:rPr>
          <w:rFonts w:ascii="Calibri" w:cs="Calibri" w:eastAsia="Calibri" w:hAnsi="Calibri"/>
          <w:sz w:val="21"/>
          <w:szCs w:val="21"/>
        </w:rPr>
        <w:t xml:space="preserve">Renaissance/RAEC site-specific environmental, waste management and permit-to-work requirements.</w:t>
      </w:r>
    </w:p>
    <w:p>
      <w:pPr>
        <w:spacing w:after="160" w:line="276"/>
      </w:pPr>
      <w:r>
        <w:rPr>
          <w:rFonts w:ascii="Calibri" w:cs="Calibri" w:eastAsia="Calibri" w:hAnsi="Calibri"/>
          <w:sz w:val="21"/>
          <w:szCs w:val="21"/>
        </w:rPr>
        <w:t xml:space="preserve">Where local Nigerian legal requirements diverge from these standards, SWDA shall comply with whichever is more stringent, consistent with SWDA’s HSE-MS Legislative &amp; Regulatory Requirements policy.</w:t>
      </w:r>
    </w:p>
    <w:p>
      <w:pPr>
        <w:pStyle w:val="Heading1"/>
        <w:pBdr>
          <w:bottom w:val="single" w:color="0F6B72" w:sz="8" w:space="4"/>
        </w:pBdr>
        <w:spacing w:after="160" w:before="360"/>
      </w:pPr>
      <w:r>
        <w:rPr>
          <w:rFonts w:ascii="Calibri" w:cs="Calibri" w:eastAsia="Calibri" w:hAnsi="Calibri"/>
          <w:b/>
          <w:bCs/>
          <w:color w:val="1F3864"/>
          <w:sz w:val="27"/>
          <w:szCs w:val="27"/>
        </w:rPr>
        <w:t xml:space="preserve">5.0  Environmental Policy Statement</w:t>
      </w:r>
    </w:p>
    <w:p>
      <w:pPr>
        <w:spacing w:after="160" w:line="276"/>
      </w:pPr>
      <w:r>
        <w:rPr>
          <w:rFonts w:ascii="Calibri" w:cs="Calibri" w:eastAsia="Calibri" w:hAnsi="Calibri"/>
          <w:sz w:val="21"/>
          <w:szCs w:val="21"/>
        </w:rPr>
        <w:t xml:space="preserve">The following is SWDA’s corporate HSE &amp; Environmental Protection Policy, which underpins this Environmental &amp; Spill Prevention Procedures document:</w:t>
      </w:r>
    </w:p>
    <w:tbl>
      <w:tblPr>
        <w:tblW w:type="pct" w:w="100%"/>
        <w:tblBorders>
          <w:top w:val="single" w:color="0F6B72" w:sz="6"/>
          <w:left w:val="single" w:color="0F6B72" w:sz="6"/>
          <w:bottom w:val="single" w:color="0F6B72" w:sz="6"/>
          <w:right w:val="single" w:color="0F6B72" w:sz="6"/>
          <w:insideH w:val="single" w:color="auto" w:sz="4"/>
          <w:insideV w:val="single" w:color="auto" w:sz="4"/>
        </w:tblBorders>
      </w:tblPr>
      <w:tblGrid>
        <w:gridCol w:w="100"/>
      </w:tblGrid>
      <w:tr>
        <w:tc>
          <w:tcPr>
            <w:shd w:fill="EAF1F1" w:val="clear"/>
            <w:tcMar>
              <w:top w:type="dxa" w:w="200"/>
              <w:left w:type="dxa" w:w="240"/>
              <w:bottom w:type="dxa" w:w="200"/>
              <w:right w:type="dxa" w:w="240"/>
            </w:tcMar>
          </w:tcPr>
          <w:p>
            <w:pPr>
              <w:spacing w:after="140" w:line="270"/>
            </w:pPr>
            <w:r>
              <w:rPr>
                <w:rFonts w:ascii="Calibri" w:cs="Calibri" w:eastAsia="Calibri" w:hAnsi="Calibri"/>
                <w:i/>
                <w:iCs/>
                <w:color w:val="2B2B2B"/>
                <w:sz w:val="21"/>
                <w:szCs w:val="21"/>
              </w:rPr>
              <w:t xml:space="preserve">“SOUTH WEST DESIGN AFRICA LTD Policy is that all activities shall be planned and executed in such a manner as to minimize the impact of such operations on the Environment. This Environmental Policy also applies to all Sub-Contractor and Vendor personnel.</w:t>
            </w:r>
          </w:p>
          <w:p>
            <w:pPr>
              <w:spacing w:after="140" w:line="270"/>
            </w:pPr>
            <w:r>
              <w:rPr>
                <w:rFonts w:ascii="Calibri" w:cs="Calibri" w:eastAsia="Calibri" w:hAnsi="Calibri"/>
                <w:i/>
                <w:iCs/>
                <w:color w:val="2B2B2B"/>
                <w:sz w:val="21"/>
                <w:szCs w:val="21"/>
              </w:rPr>
              <w:t xml:space="preserve">All personnel are encouraged to perform his/her work in an environmentally friendly manner in order to preserve air, water, soil, plant and animal life.</w:t>
            </w:r>
          </w:p>
          <w:p>
            <w:pPr>
              <w:spacing w:after="140" w:line="270"/>
            </w:pPr>
            <w:r>
              <w:rPr>
                <w:rFonts w:ascii="Calibri" w:cs="Calibri" w:eastAsia="Calibri" w:hAnsi="Calibri"/>
                <w:i/>
                <w:iCs/>
                <w:color w:val="2B2B2B"/>
                <w:sz w:val="21"/>
                <w:szCs w:val="21"/>
              </w:rPr>
              <w:t xml:space="preserve">All wastes generated in our operations, as well as spillages/discharges, sewage and chemicals, shall be managed in a responsible manner and with due regard to applicable Environmental Statutory Laws and the Client’s requirements.</w:t>
            </w:r>
          </w:p>
          <w:p>
            <w:pPr>
              <w:spacing w:after="0" w:line="270"/>
            </w:pPr>
            <w:r>
              <w:rPr>
                <w:rFonts w:ascii="Calibri" w:cs="Calibri" w:eastAsia="Calibri" w:hAnsi="Calibri"/>
                <w:i/>
                <w:iCs/>
                <w:color w:val="2B2B2B"/>
                <w:sz w:val="21"/>
                <w:szCs w:val="21"/>
              </w:rPr>
              <w:t xml:space="preserve">At the conclusion of any activity, SWDA’s ultimate goal is to leave the work site in a condition as near as possible to the state in which it was before the commencement of the Work.”</w:t>
            </w:r>
          </w:p>
        </w:tc>
      </w:tr>
    </w:tbl>
    <w:p>
      <w:pPr>
        <w:spacing w:after="160" w:line="276"/>
      </w:pPr>
      <w:r>
        <w:rPr>
          <w:rFonts w:ascii="Calibri" w:cs="Calibri" w:eastAsia="Calibri" w:hAnsi="Calibri"/>
          <w:i w:val="false"/>
          <w:iCs w:val="false"/>
          <w:sz w:val="21"/>
          <w:szCs w:val="21"/>
        </w:rPr>
        <w:t xml:space="preserve">SWDA’s associated Waste Management Policy further commits that wastes and spillages shall be collected, handled and disposed of in an environmentally safe manner so as not to cause injury or damage to personnel, plants, animals or the environment (soil, water and air), and expressly prohibits the dumping of waste or contaminated material into creeks, rivers or other watercourses.</w:t>
      </w:r>
    </w:p>
    <w:p>
      <w:pPr>
        <w:spacing w:after="40" w:before="300"/>
      </w:pPr>
      <w:r>
        <w:rPr>
          <w:rFonts w:ascii="Calibri" w:cs="Calibri" w:eastAsia="Calibri" w:hAnsi="Calibri"/>
          <w:b/>
          <w:bCs/>
          <w:sz w:val="21"/>
          <w:szCs w:val="21"/>
        </w:rPr>
        <w:t xml:space="preserve">SIGNED:</w:t>
      </w:r>
    </w:p>
    <w:p>
      <w:pPr>
        <w:spacing w:after="0"/>
      </w:pPr>
      <w:r>
        <w:rPr>
          <w:rFonts w:ascii="Calibri" w:cs="Calibri" w:eastAsia="Calibri" w:hAnsi="Calibri"/>
          <w:sz w:val="21"/>
          <w:szCs w:val="21"/>
        </w:rPr>
        <w:t xml:space="preserve">Gliffeth Wonuigwe</w:t>
      </w:r>
    </w:p>
    <w:p>
      <w:pPr>
        <w:spacing w:after="0"/>
      </w:pPr>
      <w:r>
        <w:rPr>
          <w:rFonts w:ascii="Calibri" w:cs="Calibri" w:eastAsia="Calibri" w:hAnsi="Calibri"/>
          <w:color w:val="595959"/>
          <w:sz w:val="21"/>
          <w:szCs w:val="21"/>
        </w:rPr>
        <w:t xml:space="preserve">CEO / Managing Director, South West Design Africa Limited</w:t>
      </w:r>
    </w:p>
    <w:p>
      <w:pPr>
        <w:spacing w:after="0"/>
      </w:pPr>
      <w:r>
        <w:rPr>
          <w:rFonts w:ascii="Calibri" w:cs="Calibri" w:eastAsia="Calibri" w:hAnsi="Calibri"/>
          <w:color w:val="595959"/>
          <w:sz w:val="21"/>
          <w:szCs w:val="21"/>
        </w:rPr>
        <w:t xml:space="preserve">Date: ____________________</w:t>
      </w:r>
    </w:p>
    <w:p>
      <w:r>
        <w:br w:type="page"/>
      </w:r>
    </w:p>
    <w:p>
      <w:pPr>
        <w:pStyle w:val="Heading1"/>
        <w:pBdr>
          <w:bottom w:val="single" w:color="0F6B72" w:sz="8" w:space="4"/>
        </w:pBdr>
        <w:spacing w:after="160" w:before="360"/>
      </w:pPr>
      <w:r>
        <w:rPr>
          <w:rFonts w:ascii="Calibri" w:cs="Calibri" w:eastAsia="Calibri" w:hAnsi="Calibri"/>
          <w:b/>
          <w:bCs/>
          <w:color w:val="1F3864"/>
          <w:sz w:val="27"/>
          <w:szCs w:val="27"/>
        </w:rPr>
        <w:t xml:space="preserve">6.0  Roles &amp; Responsibilities</w:t>
      </w:r>
    </w:p>
    <w:p>
      <w:pPr>
        <w:spacing w:after="160" w:line="276"/>
      </w:pPr>
      <w:r>
        <w:rPr>
          <w:rFonts w:ascii="Calibri" w:cs="Calibri" w:eastAsia="Calibri" w:hAnsi="Calibri"/>
          <w:sz w:val="21"/>
          <w:szCs w:val="21"/>
        </w:rPr>
        <w:t xml:space="preserve">Effective spill prevention and response relies on clearly defined responsibilities across the Project team, consistent with the SWDA HSE Management System (HSE-MS) and Waste Management Plan (WMP):</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400"/>
        <w:gridCol w:w="7300"/>
      </w:tblGrid>
      <w:tr>
        <w:trPr>
          <w:tblHeader/>
        </w:trPr>
        <w:tc>
          <w:tcPr>
            <w:tcW w:type="dxa" w:w="24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Role</w:t>
            </w:r>
          </w:p>
        </w:tc>
        <w:tc>
          <w:tcPr>
            <w:tcW w:type="dxa" w:w="73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Environmental &amp; Spill Prevention Responsibilities</w:t>
            </w:r>
          </w:p>
        </w:tc>
      </w:tr>
      <w:tr>
        <w:tc>
          <w:tcPr>
            <w:tcW w:type="dxa" w:w="24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Project Manager (PM)</w:t>
            </w:r>
          </w:p>
        </w:tc>
        <w:tc>
          <w:tcPr>
            <w:tcW w:type="dxa" w:w="7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Overall accountability for implementation of this document on-site; ensures resources (equipment, trained personnel, spill kits) are mobilised before work commences; approves incident reports and corrective actions.</w:t>
            </w:r>
          </w:p>
        </w:tc>
      </w:tr>
      <w:tr>
        <w:tc>
          <w:tcPr>
            <w:tcW w:type="dxa" w:w="24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Project HSE Manager / HES Officer (HESO)</w:t>
            </w:r>
          </w:p>
        </w:tc>
        <w:tc>
          <w:tcPr>
            <w:tcW w:type="dxa" w:w="7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Monitors day-to-day compliance; leads spill risk assessments and JSAs; verifies spill kits are in place and in date; leads/coordinates spill response and investigation; submits internal and statutory notifications; conducts audits of this procedure.</w:t>
            </w:r>
          </w:p>
        </w:tc>
      </w:tr>
      <w:tr>
        <w:tc>
          <w:tcPr>
            <w:tcW w:type="dxa" w:w="24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Site Supervisors (SS)</w:t>
            </w:r>
          </w:p>
        </w:tc>
        <w:tc>
          <w:tcPr>
            <w:tcW w:type="dxa" w:w="7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Supervise all sludge removal, oil recovery, refuelling and chemical-handling tasks; ensure bunds, spill trays and drip trays are used correctly; ensure Permit to Work conditions (incl. spill controls) are met before work starts; first-line responder to any spill on their shift.</w:t>
            </w:r>
          </w:p>
        </w:tc>
      </w:tr>
      <w:tr>
        <w:tc>
          <w:tcPr>
            <w:tcW w:type="dxa" w:w="24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Logistics Officer (LO)</w:t>
            </w:r>
          </w:p>
        </w:tc>
        <w:tc>
          <w:tcPr>
            <w:tcW w:type="dxa" w:w="7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Ensures waste, oily rags, absorbents and recovered product are properly contained, labelled and manifested for transport; verifies vehicles/vessels used for waste and product transfer are fit for purpose and compliant.</w:t>
            </w:r>
          </w:p>
        </w:tc>
      </w:tr>
      <w:tr>
        <w:tc>
          <w:tcPr>
            <w:tcW w:type="dxa" w:w="2400"/>
            <w:tcMar>
              <w:top w:type="dxa" w:w="100"/>
              <w:left w:type="dxa" w:w="120"/>
              <w:bottom w:type="dxa" w:w="100"/>
              <w:right w:type="dxa" w:w="120"/>
            </w:tcMar>
            <w:vAlign w:val="center"/>
          </w:tcPr>
          <w:p>
            <w:r>
              <w:rPr>
                <w:rFonts w:ascii="Calibri" w:cs="Calibri" w:eastAsia="Calibri" w:hAnsi="Calibri"/>
                <w:b w:val="false"/>
                <w:bCs w:val="false"/>
                <w:sz w:val="18"/>
                <w:szCs w:val="18"/>
              </w:rPr>
              <w:t xml:space="preserve">Waste Management Team (WMT)</w:t>
            </w:r>
          </w:p>
        </w:tc>
        <w:tc>
          <w:tcPr>
            <w:tcW w:type="dxa" w:w="7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Implements waste segregation, containment and disposal aspects of any spill clean-up, in line with the Project Waste Management Plan (WMP).</w:t>
            </w:r>
          </w:p>
        </w:tc>
      </w:tr>
      <w:tr>
        <w:tc>
          <w:tcPr>
            <w:tcW w:type="dxa" w:w="24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All Site Personnel</w:t>
            </w:r>
          </w:p>
        </w:tc>
        <w:tc>
          <w:tcPr>
            <w:tcW w:type="dxa" w:w="7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Report any spill, leak, or near-miss immediately to their supervisor; do not proceed with, or must suspend, any task that cannot be carried out in compliance with this procedure; use spill kits and PPE as instructed; participate in spill drills.</w:t>
            </w:r>
          </w:p>
        </w:tc>
      </w:tr>
      <w:tr>
        <w:tc>
          <w:tcPr>
            <w:tcW w:type="dxa" w:w="24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Renaissance/RAEC Representative</w:t>
            </w:r>
          </w:p>
        </w:tc>
        <w:tc>
          <w:tcPr>
            <w:tcW w:type="dxa" w:w="7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Provides designated discharge/disposal points, on-site oil treatment plant/WWTP access, and coordinates on any spill affecting Client infrastructure or requiring Client/NUPRC notification.</w:t>
            </w:r>
          </w:p>
        </w:tc>
      </w:tr>
    </w:tbl>
    <w:p>
      <w:pPr>
        <w:pStyle w:val="Heading1"/>
        <w:pBdr>
          <w:bottom w:val="single" w:color="0F6B72" w:sz="8" w:space="4"/>
        </w:pBdr>
        <w:spacing w:after="160" w:before="360"/>
      </w:pPr>
      <w:r>
        <w:rPr>
          <w:rFonts w:ascii="Calibri" w:cs="Calibri" w:eastAsia="Calibri" w:hAnsi="Calibri"/>
          <w:b/>
          <w:bCs/>
          <w:color w:val="1F3864"/>
          <w:sz w:val="27"/>
          <w:szCs w:val="27"/>
        </w:rPr>
        <w:t xml:space="preserve">7.0  Environmental Aspects &amp; Impacts Assessment</w:t>
      </w:r>
    </w:p>
    <w:p>
      <w:pPr>
        <w:spacing w:after="160" w:line="276"/>
      </w:pPr>
      <w:r>
        <w:rPr>
          <w:rFonts w:ascii="Calibri" w:cs="Calibri" w:eastAsia="Calibri" w:hAnsi="Calibri"/>
          <w:sz w:val="21"/>
          <w:szCs w:val="21"/>
        </w:rPr>
        <w:t xml:space="preserve">The table below summarises the principal environmental aspects associated with ATC/NME tank cleaning activities, their potential impacts, and the existing controls identified in the Project Risk Register and Job Hazard Analyses that this procedure builds upon.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2300"/>
        <w:gridCol w:w="2800"/>
      </w:tblGrid>
      <w:tr>
        <w:trPr>
          <w:tblHeader/>
        </w:trPr>
        <w:tc>
          <w:tcPr>
            <w:tcW w:type="dxa" w:w="23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Activity</w:t>
            </w:r>
          </w:p>
        </w:tc>
        <w:tc>
          <w:tcPr>
            <w:tcW w:type="dxa" w:w="23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Environmental Aspect</w:t>
            </w:r>
          </w:p>
        </w:tc>
        <w:tc>
          <w:tcPr>
            <w:tcW w:type="dxa" w:w="23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Potential Impact</w:t>
            </w:r>
          </w:p>
        </w:tc>
        <w:tc>
          <w:tcPr>
            <w:tcW w:type="dxa" w:w="28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Existing Control (baseline)</w:t>
            </w:r>
          </w:p>
        </w:tc>
      </w:tr>
      <w:tr>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de-sludging &amp; ATC/NME cleaning</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Release of crude oil / oily sludge</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Soil, groundwater or surface water contamination</w:t>
            </w:r>
          </w:p>
        </w:tc>
        <w:tc>
          <w:tcPr>
            <w:tcW w:type="dxa" w:w="2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Closed-loop ATC system, automatic shutdowns, bunded site, Oil Spill Kit, ATEX equipment</w:t>
            </w:r>
          </w:p>
        </w:tc>
      </w:tr>
      <w:tr>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Recovered oil tank operations &amp; IBC/skip filling</w:t>
            </w:r>
          </w:p>
        </w:tc>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Overfill or line spillage</w:t>
            </w:r>
          </w:p>
        </w:tc>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Localised contamination; fire/explosion hazard</w:t>
            </w:r>
          </w:p>
        </w:tc>
        <w:tc>
          <w:tcPr>
            <w:tcW w:type="dxa" w:w="2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Level sensors with alarm &amp; pump shut-down, spill pallets, 75% fill limit on IBCs</w:t>
            </w:r>
          </w:p>
        </w:tc>
      </w:tr>
      <w:tr>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Refuelling of plant &amp; equipment</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Diesel drips/spills during transfer</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Soil/surface contamination</w:t>
            </w:r>
          </w:p>
        </w:tc>
        <w:tc>
          <w:tcPr>
            <w:tcW w:type="dxa" w:w="2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tray at fill point, spill kit at hand, toolbox talk, designated fill point</w:t>
            </w:r>
          </w:p>
        </w:tc>
      </w:tr>
      <w:tr>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Chemical/detergent handling</w:t>
            </w:r>
          </w:p>
        </w:tc>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spill or splash</w:t>
            </w:r>
          </w:p>
        </w:tc>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Soil/water contamination; personnel exposure</w:t>
            </w:r>
          </w:p>
        </w:tc>
        <w:tc>
          <w:tcPr>
            <w:tcW w:type="dxa" w:w="2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Chemicals stored on spill pallets, Chemical Spill Kit, SDS, PPE</w:t>
            </w:r>
          </w:p>
        </w:tc>
      </w:tr>
      <w:tr>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Line breaking / spool removal</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Residual product discharge from pipework</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Localised soil/deck contamination</w:t>
            </w:r>
          </w:p>
        </w:tc>
        <w:tc>
          <w:tcPr>
            <w:tcW w:type="dxa" w:w="2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Portable spill tray, ADR combination unit suction, controlled draindown, LOTO</w:t>
            </w:r>
          </w:p>
        </w:tc>
      </w:tr>
      <w:tr>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Waste transport (tankers/vessels)</w:t>
            </w:r>
          </w:p>
        </w:tc>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Leakage in transit</w:t>
            </w:r>
          </w:p>
        </w:tc>
        <w:tc>
          <w:tcPr>
            <w:tcW w:type="dxa" w:w="23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Contamination along transport route/waterway</w:t>
            </w:r>
          </w:p>
        </w:tc>
        <w:tc>
          <w:tcPr>
            <w:tcW w:type="dxa" w:w="28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ADR-classified vehicles, ADR/DGSA oversight, ATC/NME oil inspection stickers</w:t>
            </w:r>
          </w:p>
        </w:tc>
      </w:tr>
      <w:tr>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rinse/wash water</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Discharge of contaminated water</w:t>
            </w:r>
          </w:p>
        </w:tc>
        <w:tc>
          <w:tcPr>
            <w:tcW w:type="dxa" w:w="2300"/>
            <w:tcMar>
              <w:top w:type="dxa" w:w="100"/>
              <w:left w:type="dxa" w:w="120"/>
              <w:bottom w:type="dxa" w:w="100"/>
              <w:right w:type="dxa" w:w="120"/>
            </w:tcMar>
            <w:vAlign w:val="center"/>
          </w:tcPr>
          <w:p>
            <w:r>
              <w:rPr>
                <w:rFonts w:ascii="Calibri" w:cs="Calibri" w:eastAsia="Calibri" w:hAnsi="Calibri"/>
                <w:b w:val="false"/>
                <w:bCs w:val="false"/>
                <w:sz w:val="18"/>
                <w:szCs w:val="18"/>
              </w:rPr>
              <w:t xml:space="preserve">Water pollution if untreated</w:t>
            </w:r>
          </w:p>
        </w:tc>
        <w:tc>
          <w:tcPr>
            <w:tcW w:type="dxa" w:w="28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Skimming Module (M4) oil recovery, treatment prior to discharge to designated facility</w:t>
            </w:r>
          </w:p>
        </w:tc>
      </w:tr>
    </w:tbl>
    <w:p>
      <w:pPr>
        <w:pStyle w:val="Heading1"/>
        <w:pBdr>
          <w:bottom w:val="single" w:color="0F6B72" w:sz="8" w:space="4"/>
        </w:pBdr>
        <w:spacing w:after="160" w:before="360"/>
      </w:pPr>
      <w:r>
        <w:rPr>
          <w:rFonts w:ascii="Calibri" w:cs="Calibri" w:eastAsia="Calibri" w:hAnsi="Calibri"/>
          <w:b/>
          <w:bCs/>
          <w:color w:val="1F3864"/>
          <w:sz w:val="27"/>
          <w:szCs w:val="27"/>
        </w:rPr>
        <w:t xml:space="preserve">8.0  Spill Prevention – Engineering &amp; Administrative Controls</w:t>
      </w:r>
    </w:p>
    <w:p>
      <w:pPr>
        <w:spacing w:after="160" w:line="276"/>
      </w:pPr>
      <w:r>
        <w:rPr>
          <w:rFonts w:ascii="Calibri" w:cs="Calibri" w:eastAsia="Calibri" w:hAnsi="Calibri"/>
          <w:sz w:val="21"/>
          <w:szCs w:val="21"/>
        </w:rPr>
        <w:t xml:space="preserve">Spill prevention is achieved primarily through engineering design of the ATC/NME system and site layout, supported by administrative controls and PPE, applying the hierarchy of controls consistent with SWDA’s Hazard &amp; Effect Management Process (HEMP).</w:t>
      </w:r>
    </w:p>
    <w:p>
      <w:pPr>
        <w:pStyle w:val="Heading2"/>
        <w:spacing w:after="120" w:before="240"/>
      </w:pPr>
      <w:r>
        <w:rPr>
          <w:rFonts w:ascii="Calibri" w:cs="Calibri" w:eastAsia="Calibri" w:hAnsi="Calibri"/>
          <w:b/>
          <w:bCs/>
          <w:color w:val="0F6B72"/>
          <w:sz w:val="23"/>
          <w:szCs w:val="23"/>
        </w:rPr>
        <w:t xml:space="preserve">8.1 Engineering Controls</w:t>
      </w:r>
    </w:p>
    <w:p>
      <w:pPr>
        <w:pStyle w:val="ListParagraph"/>
        <w:numPr>
          <w:ilvl w:val="0"/>
          <w:numId w:val="2"/>
        </w:numPr>
        <w:spacing w:after="90" w:line="264"/>
      </w:pPr>
      <w:r>
        <w:rPr>
          <w:rFonts w:ascii="Calibri" w:cs="Calibri" w:eastAsia="Calibri" w:hAnsi="Calibri"/>
          <w:sz w:val="21"/>
          <w:szCs w:val="21"/>
        </w:rPr>
        <w:t xml:space="preserve">Bunded / remote-bund containment around recovered-oil tanks, process modules and fuel/chemical storage areas;</w:t>
      </w:r>
    </w:p>
    <w:p>
      <w:pPr>
        <w:pStyle w:val="ListParagraph"/>
        <w:numPr>
          <w:ilvl w:val="0"/>
          <w:numId w:val="2"/>
        </w:numPr>
        <w:spacing w:after="90" w:line="264"/>
      </w:pPr>
      <w:r>
        <w:rPr>
          <w:rFonts w:ascii="Calibri" w:cs="Calibri" w:eastAsia="Calibri" w:hAnsi="Calibri"/>
          <w:sz w:val="21"/>
          <w:szCs w:val="21"/>
        </w:rPr>
        <w:t xml:space="preserve">Automatic level sensors on the Recovered Oil Tank and lobe pump, with high-level alarm and automatic pump slow-down/stop to prevent overfill or “dry run”;</w:t>
      </w:r>
    </w:p>
    <w:p>
      <w:pPr>
        <w:pStyle w:val="ListParagraph"/>
        <w:numPr>
          <w:ilvl w:val="0"/>
          <w:numId w:val="2"/>
        </w:numPr>
        <w:spacing w:after="90" w:line="264"/>
      </w:pPr>
      <w:r>
        <w:rPr>
          <w:rFonts w:ascii="Calibri" w:cs="Calibri" w:eastAsia="Calibri" w:hAnsi="Calibri"/>
          <w:sz w:val="21"/>
          <w:szCs w:val="21"/>
        </w:rPr>
        <w:t xml:space="preserve">Vibration sensors and auto-torque protection on the Tri-Decanter, with automatic valve switching to route feed oil back to tank if the decanter stops;</w:t>
      </w:r>
    </w:p>
    <w:p>
      <w:pPr>
        <w:pStyle w:val="ListParagraph"/>
        <w:numPr>
          <w:ilvl w:val="0"/>
          <w:numId w:val="2"/>
        </w:numPr>
        <w:spacing w:after="90" w:line="264"/>
      </w:pPr>
      <w:r>
        <w:rPr>
          <w:rFonts w:ascii="Calibri" w:cs="Calibri" w:eastAsia="Calibri" w:hAnsi="Calibri"/>
          <w:sz w:val="21"/>
          <w:szCs w:val="21"/>
        </w:rPr>
        <w:t xml:space="preserve">Automatic Tank Cleaning employed under an inert (nitrogen) atmosphere with O₂ monitoring and automatic shutdown if oxygen exceeds 8%, reducing the risk of uncontrolled release;</w:t>
      </w:r>
    </w:p>
    <w:p>
      <w:pPr>
        <w:pStyle w:val="ListParagraph"/>
        <w:numPr>
          <w:ilvl w:val="0"/>
          <w:numId w:val="2"/>
        </w:numPr>
        <w:spacing w:after="90" w:line="264"/>
      </w:pPr>
      <w:r>
        <w:rPr>
          <w:rFonts w:ascii="Calibri" w:cs="Calibri" w:eastAsia="Calibri" w:hAnsi="Calibri"/>
          <w:sz w:val="21"/>
          <w:szCs w:val="21"/>
        </w:rPr>
        <w:t xml:space="preserve">ATEX-certified pumps, hosing and electrical equipment for transfer of flammable product;</w:t>
      </w:r>
    </w:p>
    <w:p>
      <w:pPr>
        <w:pStyle w:val="ListParagraph"/>
        <w:numPr>
          <w:ilvl w:val="0"/>
          <w:numId w:val="2"/>
        </w:numPr>
        <w:spacing w:after="90" w:line="264"/>
      </w:pPr>
      <w:r>
        <w:rPr>
          <w:rFonts w:ascii="Calibri" w:cs="Calibri" w:eastAsia="Calibri" w:hAnsi="Calibri"/>
          <w:sz w:val="21"/>
          <w:szCs w:val="21"/>
        </w:rPr>
        <w:t xml:space="preserve">Spill trays and drip trays positioned at all flanges, fuel-fill points and hose connections during work;</w:t>
      </w:r>
    </w:p>
    <w:p>
      <w:pPr>
        <w:pStyle w:val="ListParagraph"/>
        <w:numPr>
          <w:ilvl w:val="0"/>
          <w:numId w:val="2"/>
        </w:numPr>
        <w:spacing w:after="90" w:line="264"/>
      </w:pPr>
      <w:r>
        <w:rPr>
          <w:rFonts w:ascii="Calibri" w:cs="Calibri" w:eastAsia="Calibri" w:hAnsi="Calibri"/>
          <w:sz w:val="21"/>
          <w:szCs w:val="21"/>
        </w:rPr>
        <w:t xml:space="preserve">Spill pallets used under all chemical drums and filled IBCs to contain any leakage;</w:t>
      </w:r>
    </w:p>
    <w:p>
      <w:pPr>
        <w:pStyle w:val="ListParagraph"/>
        <w:numPr>
          <w:ilvl w:val="0"/>
          <w:numId w:val="2"/>
        </w:numPr>
        <w:spacing w:after="90" w:line="264"/>
      </w:pPr>
      <w:r>
        <w:rPr>
          <w:rFonts w:ascii="Calibri" w:cs="Calibri" w:eastAsia="Calibri" w:hAnsi="Calibri"/>
          <w:sz w:val="21"/>
          <w:szCs w:val="21"/>
        </w:rPr>
        <w:t xml:space="preserve">Pressure testing of all lines prior to commencing work, and drain-down/LOTO of lines before break-in.</w:t>
      </w:r>
    </w:p>
    <w:p>
      <w:pPr>
        <w:pStyle w:val="Heading2"/>
        <w:spacing w:after="120" w:before="240"/>
      </w:pPr>
      <w:r>
        <w:rPr>
          <w:rFonts w:ascii="Calibri" w:cs="Calibri" w:eastAsia="Calibri" w:hAnsi="Calibri"/>
          <w:b/>
          <w:bCs/>
          <w:color w:val="0F6B72"/>
          <w:sz w:val="23"/>
          <w:szCs w:val="23"/>
        </w:rPr>
        <w:t xml:space="preserve">8.2 Administrative Controls</w:t>
      </w:r>
    </w:p>
    <w:p>
      <w:pPr>
        <w:pStyle w:val="ListParagraph"/>
        <w:numPr>
          <w:ilvl w:val="0"/>
          <w:numId w:val="2"/>
        </w:numPr>
        <w:spacing w:after="90" w:line="264"/>
      </w:pPr>
      <w:r>
        <w:rPr>
          <w:rFonts w:ascii="Calibri" w:cs="Calibri" w:eastAsia="Calibri" w:hAnsi="Calibri"/>
          <w:sz w:val="21"/>
          <w:szCs w:val="21"/>
        </w:rPr>
        <w:t xml:space="preserve">Permit to Work (PTW) system for all tasks involving product transfer, refuelling, line breaking or chemical handling, with spill controls confirmed as a permit condition;</w:t>
      </w:r>
    </w:p>
    <w:p>
      <w:pPr>
        <w:pStyle w:val="ListParagraph"/>
        <w:numPr>
          <w:ilvl w:val="0"/>
          <w:numId w:val="2"/>
        </w:numPr>
        <w:spacing w:after="90" w:line="264"/>
      </w:pPr>
      <w:r>
        <w:rPr>
          <w:rFonts w:ascii="Calibri" w:cs="Calibri" w:eastAsia="Calibri" w:hAnsi="Calibri"/>
          <w:sz w:val="21"/>
          <w:szCs w:val="21"/>
        </w:rPr>
        <w:t xml:space="preserve">Job Safety Analysis (JSA) completed for spill-risk tasks before work starts;</w:t>
      </w:r>
    </w:p>
    <w:p>
      <w:pPr>
        <w:pStyle w:val="ListParagraph"/>
        <w:numPr>
          <w:ilvl w:val="0"/>
          <w:numId w:val="2"/>
        </w:numPr>
        <w:spacing w:after="90" w:line="264"/>
      </w:pPr>
      <w:r>
        <w:rPr>
          <w:rFonts w:ascii="Calibri" w:cs="Calibri" w:eastAsia="Calibri" w:hAnsi="Calibri"/>
          <w:sz w:val="21"/>
          <w:szCs w:val="21"/>
        </w:rPr>
        <w:t xml:space="preserve">Toolbox talks before refuelling, chemical transfer or line-breaking activities, confirming equipment to be filled/worked on;</w:t>
      </w:r>
    </w:p>
    <w:p>
      <w:pPr>
        <w:pStyle w:val="ListParagraph"/>
        <w:numPr>
          <w:ilvl w:val="0"/>
          <w:numId w:val="2"/>
        </w:numPr>
        <w:spacing w:after="90" w:line="264"/>
      </w:pPr>
      <w:r>
        <w:rPr>
          <w:rFonts w:ascii="Calibri" w:cs="Calibri" w:eastAsia="Calibri" w:hAnsi="Calibri"/>
          <w:sz w:val="21"/>
          <w:szCs w:val="21"/>
        </w:rPr>
        <w:t xml:space="preserve">Continuous monitoring/attendance during all filling, decanting or draindown operations – filling is never left unattended;</w:t>
      </w:r>
    </w:p>
    <w:p>
      <w:pPr>
        <w:pStyle w:val="ListParagraph"/>
        <w:numPr>
          <w:ilvl w:val="0"/>
          <w:numId w:val="2"/>
        </w:numPr>
        <w:spacing w:after="90" w:line="264"/>
      </w:pPr>
      <w:r>
        <w:rPr>
          <w:rFonts w:ascii="Calibri" w:cs="Calibri" w:eastAsia="Calibri" w:hAnsi="Calibri"/>
          <w:sz w:val="21"/>
          <w:szCs w:val="21"/>
        </w:rPr>
        <w:t xml:space="preserve">Confirmation that Spill Kits are at hand at the point of any product transfer or refuelling before work commences;</w:t>
      </w:r>
    </w:p>
    <w:p>
      <w:pPr>
        <w:pStyle w:val="ListParagraph"/>
        <w:numPr>
          <w:ilvl w:val="0"/>
          <w:numId w:val="2"/>
        </w:numPr>
        <w:spacing w:after="90" w:line="264"/>
      </w:pPr>
      <w:r>
        <w:rPr>
          <w:rFonts w:ascii="Calibri" w:cs="Calibri" w:eastAsia="Calibri" w:hAnsi="Calibri"/>
          <w:sz w:val="21"/>
          <w:szCs w:val="21"/>
        </w:rPr>
        <w:t xml:space="preserve">Regular preventive maintenance and inspection of plant, equipment, hoses and couplings;</w:t>
      </w:r>
    </w:p>
    <w:p>
      <w:pPr>
        <w:pStyle w:val="ListParagraph"/>
        <w:numPr>
          <w:ilvl w:val="0"/>
          <w:numId w:val="2"/>
        </w:numPr>
        <w:spacing w:after="90" w:line="264"/>
      </w:pPr>
      <w:r>
        <w:rPr>
          <w:rFonts w:ascii="Calibri" w:cs="Calibri" w:eastAsia="Calibri" w:hAnsi="Calibri"/>
          <w:sz w:val="21"/>
          <w:szCs w:val="21"/>
        </w:rPr>
        <w:t xml:space="preserve">Use of intrinsically-safe, non-sparking tools and couplings in hydrocarbon-handling areas.</w:t>
      </w:r>
    </w:p>
    <w:p>
      <w:pPr>
        <w:pStyle w:val="Heading2"/>
        <w:spacing w:after="120" w:before="240"/>
      </w:pPr>
      <w:r>
        <w:rPr>
          <w:rFonts w:ascii="Calibri" w:cs="Calibri" w:eastAsia="Calibri" w:hAnsi="Calibri"/>
          <w:b/>
          <w:bCs/>
          <w:color w:val="0F6B72"/>
          <w:sz w:val="23"/>
          <w:szCs w:val="23"/>
        </w:rPr>
        <w:t xml:space="preserve">8.3 Personal Protective Equipment</w:t>
      </w:r>
    </w:p>
    <w:p>
      <w:pPr>
        <w:pStyle w:val="ListParagraph"/>
        <w:numPr>
          <w:ilvl w:val="0"/>
          <w:numId w:val="2"/>
        </w:numPr>
        <w:spacing w:after="90" w:line="264"/>
      </w:pPr>
      <w:r>
        <w:rPr>
          <w:rFonts w:ascii="Calibri" w:cs="Calibri" w:eastAsia="Calibri" w:hAnsi="Calibri"/>
          <w:sz w:val="21"/>
          <w:szCs w:val="21"/>
        </w:rPr>
        <w:t xml:space="preserve">Chemical-resistant gloves, coveralls and safety glasses for routine chemical handling;</w:t>
      </w:r>
    </w:p>
    <w:p>
      <w:pPr>
        <w:pStyle w:val="ListParagraph"/>
        <w:numPr>
          <w:ilvl w:val="0"/>
          <w:numId w:val="2"/>
        </w:numPr>
        <w:spacing w:after="90" w:line="264"/>
      </w:pPr>
      <w:r>
        <w:rPr>
          <w:rFonts w:ascii="Calibri" w:cs="Calibri" w:eastAsia="Calibri" w:hAnsi="Calibri"/>
          <w:sz w:val="21"/>
          <w:szCs w:val="21"/>
        </w:rPr>
        <w:t xml:space="preserve">Cartridge filter respirator when pouring chemicals from drum to tank;</w:t>
      </w:r>
    </w:p>
    <w:p>
      <w:pPr>
        <w:pStyle w:val="ListParagraph"/>
        <w:numPr>
          <w:ilvl w:val="0"/>
          <w:numId w:val="2"/>
        </w:numPr>
        <w:spacing w:after="90" w:line="264"/>
      </w:pPr>
      <w:r>
        <w:rPr>
          <w:rFonts w:ascii="Calibri" w:cs="Calibri" w:eastAsia="Calibri" w:hAnsi="Calibri"/>
          <w:sz w:val="21"/>
          <w:szCs w:val="21"/>
        </w:rPr>
        <w:t xml:space="preserve">Flame-retardant coveralls and appropriate RPE/SCBA for tasks involving hydrocarbon vapours or confined space entry.</w:t>
      </w:r>
    </w:p>
    <w:p>
      <w:pPr>
        <w:pStyle w:val="Heading1"/>
        <w:pBdr>
          <w:bottom w:val="single" w:color="0F6B72" w:sz="8" w:space="4"/>
        </w:pBdr>
        <w:spacing w:after="160" w:before="360"/>
      </w:pPr>
      <w:r>
        <w:rPr>
          <w:rFonts w:ascii="Calibri" w:cs="Calibri" w:eastAsia="Calibri" w:hAnsi="Calibri"/>
          <w:b/>
          <w:bCs/>
          <w:color w:val="1F3864"/>
          <w:sz w:val="27"/>
          <w:szCs w:val="27"/>
        </w:rPr>
        <w:t xml:space="preserve">9.0  Spill Classification &amp; Risk Rating</w:t>
      </w:r>
    </w:p>
    <w:p>
      <w:pPr>
        <w:spacing w:after="160" w:line="276"/>
      </w:pPr>
      <w:r>
        <w:rPr>
          <w:rFonts w:ascii="Calibri" w:cs="Calibri" w:eastAsia="Calibri" w:hAnsi="Calibri"/>
          <w:sz w:val="21"/>
          <w:szCs w:val="21"/>
        </w:rPr>
        <w:t xml:space="preserve">To ensure a proportionate and consistent response, SWDA classifies spills into three tiers, aligned with the Consequence/Likelihood Risk Categories (I–IV) already used in the Project Risk Register and JSAs.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1400"/>
        <w:gridCol w:w="2900"/>
        <w:gridCol w:w="3200"/>
        <w:gridCol w:w="1900"/>
      </w:tblGrid>
      <w:tr>
        <w:trPr>
          <w:tblHeader/>
        </w:trPr>
        <w:tc>
          <w:tcPr>
            <w:tcW w:type="dxa" w:w="14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Tier</w:t>
            </w:r>
          </w:p>
        </w:tc>
        <w:tc>
          <w:tcPr>
            <w:tcW w:type="dxa" w:w="29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Description</w:t>
            </w:r>
          </w:p>
        </w:tc>
        <w:tc>
          <w:tcPr>
            <w:tcW w:type="dxa" w:w="32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Typical Example</w:t>
            </w:r>
          </w:p>
        </w:tc>
        <w:tc>
          <w:tcPr>
            <w:tcW w:type="dxa" w:w="19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Response Level</w:t>
            </w:r>
          </w:p>
        </w:tc>
      </w:tr>
      <w:tr>
        <w:tc>
          <w:tcPr>
            <w:tcW w:type="dxa" w:w="14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Tier 1 – Minor</w:t>
            </w:r>
          </w:p>
        </w:tc>
        <w:tc>
          <w:tcPr>
            <w:tcW w:type="dxa" w:w="2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Small, contained spill (e.g. under 1 drum/200 L), fully contained within a spill tray, pallet or bund; no offsite migration.</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Fuel drip during refuelling; minor drum/IBC drip on a spill pallet.</w:t>
            </w:r>
          </w:p>
        </w:tc>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Site-level: contained and cleaned up by trained personnel using the local spill kit; recorded in site log.</w:t>
            </w:r>
          </w:p>
        </w:tc>
      </w:tr>
      <w:tr>
        <w:tc>
          <w:tcPr>
            <w:tcW w:type="dxa" w:w="14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Tier 2 – Moderate</w:t>
            </w:r>
          </w:p>
        </w:tc>
        <w:tc>
          <w:tcPr>
            <w:tcW w:type="dxa" w:w="2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exceeding a spill tray/pallet capacity but contained within the bunded area or site boundary; potential for soil contact.</w:t>
            </w:r>
          </w:p>
        </w:tc>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Line-break discharge beyond the spill tray; IBC overfill reaching the bund floor.</w:t>
            </w:r>
          </w:p>
        </w:tc>
        <w:tc>
          <w:tcPr>
            <w:tcW w:type="dxa" w:w="19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Site Supervisor/HESO-led response; full spill kit deployment; PM and Renaissance representative notified; formal incident report raised.</w:t>
            </w:r>
          </w:p>
        </w:tc>
      </w:tr>
      <w:tr>
        <w:tc>
          <w:tcPr>
            <w:tcW w:type="dxa" w:w="14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Tier 3 – Major</w:t>
            </w:r>
          </w:p>
        </w:tc>
        <w:tc>
          <w:tcPr>
            <w:tcW w:type="dxa" w:w="2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Uncontained release with actual or potential migration beyond the bunded area/site boundary, or into a watercourse/wetland.</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Tank/line failure with loss of primary and secondary containment; spill reaching a creek or waterway.</w:t>
            </w:r>
          </w:p>
        </w:tc>
        <w:tc>
          <w:tcPr>
            <w:tcW w:type="dxa" w:w="1900"/>
            <w:tcMar>
              <w:top w:type="dxa" w:w="100"/>
              <w:left w:type="dxa" w:w="120"/>
              <w:bottom w:type="dxa" w:w="100"/>
              <w:right w:type="dxa" w:w="120"/>
            </w:tcMar>
            <w:vAlign w:val="center"/>
          </w:tcPr>
          <w:p>
            <w:r>
              <w:rPr>
                <w:rFonts w:ascii="Calibri" w:cs="Calibri" w:eastAsia="Calibri" w:hAnsi="Calibri"/>
                <w:b w:val="false"/>
                <w:bCs w:val="false"/>
                <w:sz w:val="18"/>
                <w:szCs w:val="18"/>
              </w:rPr>
              <w:t xml:space="preserve">Full Project Emergency Response Plan (ERP) activated; PM, HESO, Renaissance/RAEC and statutory authorities (NUPRC, NESREA) notified without delay; external spill response resources mobilised as required.</w:t>
            </w:r>
          </w:p>
        </w:tc>
      </w:tr>
    </w:tbl>
    <w:p>
      <w:pPr>
        <w:spacing w:after="160" w:line="276"/>
      </w:pPr>
      <w:r>
        <w:rPr>
          <w:rFonts w:ascii="Calibri" w:cs="Calibri" w:eastAsia="Calibri" w:hAnsi="Calibri"/>
          <w:sz w:val="21"/>
          <w:szCs w:val="21"/>
        </w:rPr>
        <w:t xml:space="preserve">The Risk Assessment Method used elsewhere in the Project (Consequence 1–5 x Likelihood 1–5, mapped to Risk Categories I–IV) shall also be applied when assessing residual risk after a spill event, to determine whether work can resume (Category I or II) or must remain suspended pending further mitigation (Category III or IV).</w:t>
      </w:r>
    </w:p>
    <w:p>
      <w:pPr>
        <w:pStyle w:val="Heading1"/>
        <w:pBdr>
          <w:bottom w:val="single" w:color="0F6B72" w:sz="8" w:space="4"/>
        </w:pBdr>
        <w:spacing w:after="160" w:before="360"/>
      </w:pPr>
      <w:r>
        <w:rPr>
          <w:rFonts w:ascii="Calibri" w:cs="Calibri" w:eastAsia="Calibri" w:hAnsi="Calibri"/>
          <w:b/>
          <w:bCs/>
          <w:color w:val="1F3864"/>
          <w:sz w:val="27"/>
          <w:szCs w:val="27"/>
        </w:rPr>
        <w:t xml:space="preserve">10.0  Spill Response Equipment &amp; Resources</w:t>
      </w:r>
    </w:p>
    <w:p>
      <w:pPr>
        <w:spacing w:after="160" w:line="276"/>
      </w:pPr>
      <w:r>
        <w:rPr>
          <w:rFonts w:ascii="Calibri" w:cs="Calibri" w:eastAsia="Calibri" w:hAnsi="Calibri"/>
          <w:sz w:val="21"/>
          <w:szCs w:val="21"/>
        </w:rPr>
        <w:t xml:space="preserve">SWDA maintains dedicated spill response equipment, mobilised to site ahead of Project start-up and inspected as part of routine equipment checks. Core inventory includes: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100"/>
        <w:gridCol w:w="1700"/>
        <w:gridCol w:w="3200"/>
      </w:tblGrid>
      <w:tr>
        <w:trPr>
          <w:tblHeader/>
        </w:trPr>
        <w:tc>
          <w:tcPr>
            <w:tcW w:type="dxa" w:w="41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Equipment</w:t>
            </w:r>
          </w:p>
        </w:tc>
        <w:tc>
          <w:tcPr>
            <w:tcW w:type="dxa" w:w="17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Quantity</w:t>
            </w:r>
          </w:p>
        </w:tc>
        <w:tc>
          <w:tcPr>
            <w:tcW w:type="dxa" w:w="32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Staging Location</w:t>
            </w:r>
          </w:p>
        </w:tc>
      </w:tr>
      <w:tr>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Sludge Spill Emergency Response Mop-Up Equipment (400-L recovery drums with absorbent pads, rolls &amp; boom)</w:t>
            </w:r>
          </w:p>
        </w:tc>
        <w:tc>
          <w:tcPr>
            <w:tcW w:type="dxa" w:w="1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2 units</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&amp; skip areas / SWDA Warehouse, Kidney Island, PHC</w:t>
            </w:r>
          </w:p>
        </w:tc>
      </w:tr>
      <w:tr>
        <w:tc>
          <w:tcPr>
            <w:tcW w:type="dxa" w:w="41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Emergency Response Bio-Surfactant (biodegradable, 250-L drums, for spill clean-up)</w:t>
            </w:r>
          </w:p>
        </w:tc>
        <w:tc>
          <w:tcPr>
            <w:tcW w:type="dxa" w:w="17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4 units</w:t>
            </w:r>
          </w:p>
        </w:tc>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SWDA Warehouse, Kidney Island, PHC</w:t>
            </w:r>
          </w:p>
        </w:tc>
      </w:tr>
      <w:tr>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Spill Kit (absorbents, PPE, containment socks)</w:t>
            </w:r>
          </w:p>
        </w:tc>
        <w:tc>
          <w:tcPr>
            <w:tcW w:type="dxa" w:w="1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Site-held</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storage / spill pallet areas, each Tank Site</w:t>
            </w:r>
          </w:p>
        </w:tc>
      </w:tr>
      <w:tr>
        <w:tc>
          <w:tcPr>
            <w:tcW w:type="dxa" w:w="41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Oil Spill Kit</w:t>
            </w:r>
          </w:p>
        </w:tc>
        <w:tc>
          <w:tcPr>
            <w:tcW w:type="dxa" w:w="17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Site-held</w:t>
            </w:r>
          </w:p>
        </w:tc>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cleaning work areas, each Tank Site</w:t>
            </w:r>
          </w:p>
        </w:tc>
      </w:tr>
      <w:tr>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trays / drip trays</w:t>
            </w:r>
          </w:p>
        </w:tc>
        <w:tc>
          <w:tcPr>
            <w:tcW w:type="dxa" w:w="1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Multiple</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Refuelling points, flanges, all product-transfer points</w:t>
            </w:r>
          </w:p>
        </w:tc>
      </w:tr>
      <w:tr>
        <w:tc>
          <w:tcPr>
            <w:tcW w:type="dxa" w:w="41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pallets</w:t>
            </w:r>
          </w:p>
        </w:tc>
        <w:tc>
          <w:tcPr>
            <w:tcW w:type="dxa" w:w="17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Multiple</w:t>
            </w:r>
          </w:p>
        </w:tc>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storage, IBC/drum staging areas</w:t>
            </w:r>
          </w:p>
        </w:tc>
      </w:tr>
      <w:tr>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Gas detectors (4-gas)</w:t>
            </w:r>
          </w:p>
        </w:tc>
        <w:tc>
          <w:tcPr>
            <w:tcW w:type="dxa" w:w="1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6</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areas</w:t>
            </w:r>
          </w:p>
        </w:tc>
      </w:tr>
      <w:tr>
        <w:tc>
          <w:tcPr>
            <w:tcW w:type="dxa" w:w="41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Fire extinguishers</w:t>
            </w:r>
          </w:p>
        </w:tc>
        <w:tc>
          <w:tcPr>
            <w:tcW w:type="dxa" w:w="17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8</w:t>
            </w:r>
          </w:p>
        </w:tc>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Laydown area &amp; Tank areas</w:t>
            </w:r>
          </w:p>
        </w:tc>
      </w:tr>
      <w:tr>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Communication radios</w:t>
            </w:r>
          </w:p>
        </w:tc>
        <w:tc>
          <w:tcPr>
            <w:tcW w:type="dxa" w:w="1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4</w:t>
            </w:r>
          </w:p>
        </w:tc>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Laydown area &amp; Tank areas</w:t>
            </w:r>
          </w:p>
        </w:tc>
      </w:tr>
    </w:tbl>
    <w:p>
      <w:pPr>
        <w:spacing w:after="160" w:line="276"/>
      </w:pPr>
      <w:r>
        <w:rPr>
          <w:rFonts w:ascii="Calibri" w:cs="Calibri" w:eastAsia="Calibri" w:hAnsi="Calibri"/>
          <w:sz w:val="21"/>
          <w:szCs w:val="21"/>
        </w:rPr>
        <w:t xml:space="preserve">Full equipment particulars, staging locations and pre-mobilisation inspection status are maintained in the Project HSE Plan equipment register (Attachment 3) and shall be cross-checked by the HESO prior to mobilisation to each Tank Site.</w:t>
      </w:r>
    </w:p>
    <w:p>
      <w:pPr>
        <w:pStyle w:val="Heading1"/>
        <w:pBdr>
          <w:bottom w:val="single" w:color="0F6B72" w:sz="8" w:space="4"/>
        </w:pBdr>
        <w:spacing w:after="160" w:before="360"/>
      </w:pPr>
      <w:r>
        <w:rPr>
          <w:rFonts w:ascii="Calibri" w:cs="Calibri" w:eastAsia="Calibri" w:hAnsi="Calibri"/>
          <w:b/>
          <w:bCs/>
          <w:color w:val="1F3864"/>
          <w:sz w:val="27"/>
          <w:szCs w:val="27"/>
        </w:rPr>
        <w:t xml:space="preserve">11.0  General Spill Response Procedure</w:t>
      </w:r>
    </w:p>
    <w:p>
      <w:pPr>
        <w:spacing w:after="160" w:line="276"/>
      </w:pPr>
      <w:r>
        <w:rPr>
          <w:rFonts w:ascii="Calibri" w:cs="Calibri" w:eastAsia="Calibri" w:hAnsi="Calibri"/>
          <w:sz w:val="21"/>
          <w:szCs w:val="21"/>
        </w:rPr>
        <w:t xml:space="preserve">In the event of any spill, leak or uncontrolled release, personnel shall follow the STOP – ISOLATE – CONTAIN – NOTIFY – RECOVER sequence below:</w:t>
      </w:r>
    </w:p>
    <w:p>
      <w:pPr>
        <w:pStyle w:val="Heading2"/>
        <w:spacing w:after="120" w:before="240"/>
      </w:pPr>
      <w:r>
        <w:rPr>
          <w:rFonts w:ascii="Calibri" w:cs="Calibri" w:eastAsia="Calibri" w:hAnsi="Calibri"/>
          <w:b/>
          <w:bCs/>
          <w:color w:val="0F6B72"/>
          <w:sz w:val="23"/>
          <w:szCs w:val="23"/>
        </w:rPr>
        <w:t xml:space="preserve">Step 1 – Stop &amp; Make Safe</w:t>
      </w:r>
    </w:p>
    <w:p>
      <w:pPr>
        <w:pStyle w:val="ListParagraph"/>
        <w:numPr>
          <w:ilvl w:val="0"/>
          <w:numId w:val="2"/>
        </w:numPr>
        <w:spacing w:after="90" w:line="264"/>
      </w:pPr>
      <w:r>
        <w:rPr>
          <w:rFonts w:ascii="Calibri" w:cs="Calibri" w:eastAsia="Calibri" w:hAnsi="Calibri"/>
          <w:sz w:val="21"/>
          <w:szCs w:val="21"/>
        </w:rPr>
        <w:t xml:space="preserve">Stop the source of the spill if it is safe to do so (e.g. close a valve, stop a pump, shut off a hose);</w:t>
      </w:r>
    </w:p>
    <w:p>
      <w:pPr>
        <w:pStyle w:val="ListParagraph"/>
        <w:numPr>
          <w:ilvl w:val="0"/>
          <w:numId w:val="2"/>
        </w:numPr>
        <w:spacing w:after="90" w:line="264"/>
      </w:pPr>
      <w:r>
        <w:rPr>
          <w:rFonts w:ascii="Calibri" w:cs="Calibri" w:eastAsia="Calibri" w:hAnsi="Calibri"/>
          <w:sz w:val="21"/>
          <w:szCs w:val="21"/>
        </w:rPr>
        <w:t xml:space="preserve">Remove or shut down ignition sources where flammable product is involved;</w:t>
      </w:r>
    </w:p>
    <w:p>
      <w:pPr>
        <w:pStyle w:val="ListParagraph"/>
        <w:numPr>
          <w:ilvl w:val="0"/>
          <w:numId w:val="2"/>
        </w:numPr>
        <w:spacing w:after="90" w:line="264"/>
      </w:pPr>
      <w:r>
        <w:rPr>
          <w:rFonts w:ascii="Calibri" w:cs="Calibri" w:eastAsia="Calibri" w:hAnsi="Calibri"/>
          <w:sz w:val="21"/>
          <w:szCs w:val="21"/>
        </w:rPr>
        <w:t xml:space="preserve">Alert nearby personnel and, for anything beyond a minor drip, evacuate non-essential personnel from the immediate area.</w:t>
      </w:r>
    </w:p>
    <w:p>
      <w:pPr>
        <w:pStyle w:val="Heading2"/>
        <w:spacing w:after="120" w:before="240"/>
      </w:pPr>
      <w:r>
        <w:rPr>
          <w:rFonts w:ascii="Calibri" w:cs="Calibri" w:eastAsia="Calibri" w:hAnsi="Calibri"/>
          <w:b/>
          <w:bCs/>
          <w:color w:val="0F6B72"/>
          <w:sz w:val="23"/>
          <w:szCs w:val="23"/>
        </w:rPr>
        <w:t xml:space="preserve">Step 2 – Isolate &amp; Contain at Source</w:t>
      </w:r>
    </w:p>
    <w:p>
      <w:pPr>
        <w:pStyle w:val="ListParagraph"/>
        <w:numPr>
          <w:ilvl w:val="0"/>
          <w:numId w:val="2"/>
        </w:numPr>
        <w:spacing w:after="90" w:line="264"/>
      </w:pPr>
      <w:r>
        <w:rPr>
          <w:rFonts w:ascii="Calibri" w:cs="Calibri" w:eastAsia="Calibri" w:hAnsi="Calibri"/>
          <w:sz w:val="21"/>
          <w:szCs w:val="21"/>
        </w:rPr>
        <w:t xml:space="preserve">Immediately isolate and contain the spill at its source using the nearest spill tray, pallet, boom or containment sock;</w:t>
      </w:r>
    </w:p>
    <w:p>
      <w:pPr>
        <w:pStyle w:val="ListParagraph"/>
        <w:numPr>
          <w:ilvl w:val="0"/>
          <w:numId w:val="2"/>
        </w:numPr>
        <w:spacing w:after="90" w:line="264"/>
      </w:pPr>
      <w:r>
        <w:rPr>
          <w:rFonts w:ascii="Calibri" w:cs="Calibri" w:eastAsia="Calibri" w:hAnsi="Calibri"/>
          <w:sz w:val="21"/>
          <w:szCs w:val="21"/>
        </w:rPr>
        <w:t xml:space="preserve">Prevent the spill from reaching drains, watercourses, creeks or unbunded ground – deploy booms/absorbent barriers around the perimeter of the spill first, then work inward;</w:t>
      </w:r>
    </w:p>
    <w:p>
      <w:pPr>
        <w:pStyle w:val="ListParagraph"/>
        <w:numPr>
          <w:ilvl w:val="0"/>
          <w:numId w:val="2"/>
        </w:numPr>
        <w:spacing w:after="90" w:line="264"/>
      </w:pPr>
      <w:r>
        <w:rPr>
          <w:rFonts w:ascii="Calibri" w:cs="Calibri" w:eastAsia="Calibri" w:hAnsi="Calibri"/>
          <w:sz w:val="21"/>
          <w:szCs w:val="21"/>
        </w:rPr>
        <w:t xml:space="preserve">Do not attempt containment beyond trained competency – escalate immediately for Tier 2/3 events (see Section 9.0).</w:t>
      </w:r>
    </w:p>
    <w:p>
      <w:pPr>
        <w:pStyle w:val="Heading2"/>
        <w:spacing w:after="120" w:before="240"/>
      </w:pPr>
      <w:r>
        <w:rPr>
          <w:rFonts w:ascii="Calibri" w:cs="Calibri" w:eastAsia="Calibri" w:hAnsi="Calibri"/>
          <w:b/>
          <w:bCs/>
          <w:color w:val="0F6B72"/>
          <w:sz w:val="23"/>
          <w:szCs w:val="23"/>
        </w:rPr>
        <w:t xml:space="preserve">Step 3 – Notify</w:t>
      </w:r>
    </w:p>
    <w:p>
      <w:pPr>
        <w:pStyle w:val="ListParagraph"/>
        <w:numPr>
          <w:ilvl w:val="0"/>
          <w:numId w:val="2"/>
        </w:numPr>
        <w:spacing w:after="90" w:line="264"/>
      </w:pPr>
      <w:r>
        <w:rPr>
          <w:rFonts w:ascii="Calibri" w:cs="Calibri" w:eastAsia="Calibri" w:hAnsi="Calibri"/>
          <w:sz w:val="21"/>
          <w:szCs w:val="21"/>
        </w:rPr>
        <w:t xml:space="preserve">Report the spill immediately to the Site Supervisor, who informs the HESO and Project Manager without delay (see Section 13.0 for the full notification chain);</w:t>
      </w:r>
    </w:p>
    <w:p>
      <w:pPr>
        <w:pStyle w:val="ListParagraph"/>
        <w:numPr>
          <w:ilvl w:val="0"/>
          <w:numId w:val="2"/>
        </w:numPr>
        <w:spacing w:after="90" w:line="264"/>
      </w:pPr>
      <w:r>
        <w:rPr>
          <w:rFonts w:ascii="Calibri" w:cs="Calibri" w:eastAsia="Calibri" w:hAnsi="Calibri"/>
          <w:sz w:val="21"/>
          <w:szCs w:val="21"/>
        </w:rPr>
        <w:t xml:space="preserve">For Tier 2 or Tier 3 spills, the Renaissance/RAEC representative shall be notified immediately in parallel with internal notification.</w:t>
      </w:r>
    </w:p>
    <w:p>
      <w:pPr>
        <w:pStyle w:val="Heading2"/>
        <w:spacing w:after="120" w:before="240"/>
      </w:pPr>
      <w:r>
        <w:rPr>
          <w:rFonts w:ascii="Calibri" w:cs="Calibri" w:eastAsia="Calibri" w:hAnsi="Calibri"/>
          <w:b/>
          <w:bCs/>
          <w:color w:val="0F6B72"/>
          <w:sz w:val="23"/>
          <w:szCs w:val="23"/>
        </w:rPr>
        <w:t xml:space="preserve">Step 4 – Recover &amp; Clean Up</w:t>
      </w:r>
    </w:p>
    <w:p>
      <w:pPr>
        <w:pStyle w:val="ListParagraph"/>
        <w:numPr>
          <w:ilvl w:val="0"/>
          <w:numId w:val="2"/>
        </w:numPr>
        <w:spacing w:after="90" w:line="264"/>
      </w:pPr>
      <w:r>
        <w:rPr>
          <w:rFonts w:ascii="Calibri" w:cs="Calibri" w:eastAsia="Calibri" w:hAnsi="Calibri"/>
          <w:sz w:val="21"/>
          <w:szCs w:val="21"/>
        </w:rPr>
        <w:t xml:space="preserve">All spills shall be mopped up using absorbent pads, industrial rags and booms, or treated with biodegradable bio-surfactant where appropriate for the product type;</w:t>
      </w:r>
    </w:p>
    <w:p>
      <w:pPr>
        <w:pStyle w:val="ListParagraph"/>
        <w:numPr>
          <w:ilvl w:val="0"/>
          <w:numId w:val="2"/>
        </w:numPr>
        <w:spacing w:after="90" w:line="264"/>
      </w:pPr>
      <w:r>
        <w:rPr>
          <w:rFonts w:ascii="Calibri" w:cs="Calibri" w:eastAsia="Calibri" w:hAnsi="Calibri"/>
          <w:sz w:val="21"/>
          <w:szCs w:val="21"/>
        </w:rPr>
        <w:t xml:space="preserve">Recovered free product shall be pumped/skimmed back into the process system for recovery where practicable;</w:t>
      </w:r>
    </w:p>
    <w:p>
      <w:pPr>
        <w:pStyle w:val="ListParagraph"/>
        <w:numPr>
          <w:ilvl w:val="0"/>
          <w:numId w:val="2"/>
        </w:numPr>
        <w:spacing w:after="90" w:line="264"/>
      </w:pPr>
      <w:r>
        <w:rPr>
          <w:rFonts w:ascii="Calibri" w:cs="Calibri" w:eastAsia="Calibri" w:hAnsi="Calibri"/>
          <w:sz w:val="21"/>
          <w:szCs w:val="21"/>
        </w:rPr>
        <w:t xml:space="preserve">Oily absorbents, rags and contaminated materials shall be collected and stored in clearly marked bins at a Renaissance/RAEC-designated area, pending off-site disposal in accordance with Section 14.0;</w:t>
      </w:r>
    </w:p>
    <w:p>
      <w:pPr>
        <w:pStyle w:val="ListParagraph"/>
        <w:numPr>
          <w:ilvl w:val="0"/>
          <w:numId w:val="2"/>
        </w:numPr>
        <w:spacing w:after="90" w:line="264"/>
      </w:pPr>
      <w:r>
        <w:rPr>
          <w:rFonts w:ascii="Calibri" w:cs="Calibri" w:eastAsia="Calibri" w:hAnsi="Calibri"/>
          <w:sz w:val="21"/>
          <w:szCs w:val="21"/>
        </w:rPr>
        <w:t xml:space="preserve">The affected area shall be inspected for residual contamination and re-tested (e.g. gas testing where relevant) before work resumes.</w:t>
      </w:r>
    </w:p>
    <w:p>
      <w:pPr>
        <w:pStyle w:val="Heading2"/>
        <w:spacing w:after="120" w:before="240"/>
      </w:pPr>
      <w:r>
        <w:rPr>
          <w:rFonts w:ascii="Calibri" w:cs="Calibri" w:eastAsia="Calibri" w:hAnsi="Calibri"/>
          <w:b/>
          <w:bCs/>
          <w:color w:val="0F6B72"/>
          <w:sz w:val="23"/>
          <w:szCs w:val="23"/>
        </w:rPr>
        <w:t xml:space="preserve">Step 5 – Investigate &amp; Close Out</w:t>
      </w:r>
    </w:p>
    <w:p>
      <w:pPr>
        <w:pStyle w:val="ListParagraph"/>
        <w:numPr>
          <w:ilvl w:val="0"/>
          <w:numId w:val="2"/>
        </w:numPr>
        <w:spacing w:after="90" w:line="264"/>
      </w:pPr>
      <w:r>
        <w:rPr>
          <w:rFonts w:ascii="Calibri" w:cs="Calibri" w:eastAsia="Calibri" w:hAnsi="Calibri"/>
          <w:sz w:val="21"/>
          <w:szCs w:val="21"/>
        </w:rPr>
        <w:t xml:space="preserve">The HESO leads a root-cause investigation for all Tier 2/3 spills, and any Tier 1 spill that recurs;</w:t>
      </w:r>
    </w:p>
    <w:p>
      <w:pPr>
        <w:pStyle w:val="ListParagraph"/>
        <w:numPr>
          <w:ilvl w:val="0"/>
          <w:numId w:val="2"/>
        </w:numPr>
        <w:spacing w:after="90" w:line="264"/>
      </w:pPr>
      <w:r>
        <w:rPr>
          <w:rFonts w:ascii="Calibri" w:cs="Calibri" w:eastAsia="Calibri" w:hAnsi="Calibri"/>
          <w:sz w:val="21"/>
          <w:szCs w:val="21"/>
        </w:rPr>
        <w:t xml:space="preserve">Corrective and preventive actions are tracked to close-out and lessons learned are shared across all Tank Sites;</w:t>
      </w:r>
    </w:p>
    <w:p>
      <w:pPr>
        <w:pStyle w:val="ListParagraph"/>
        <w:numPr>
          <w:ilvl w:val="0"/>
          <w:numId w:val="2"/>
        </w:numPr>
        <w:spacing w:after="90" w:line="264"/>
      </w:pPr>
      <w:r>
        <w:rPr>
          <w:rFonts w:ascii="Calibri" w:cs="Calibri" w:eastAsia="Calibri" w:hAnsi="Calibri"/>
          <w:sz w:val="21"/>
          <w:szCs w:val="21"/>
        </w:rPr>
        <w:t xml:space="preserve">A Spill / Environmental Incident Report (Attachment B) is completed for every spill, regardless of tier.</w:t>
      </w:r>
    </w:p>
    <w:p>
      <w:r>
        <w:br w:type="page"/>
      </w:r>
    </w:p>
    <w:p>
      <w:pPr>
        <w:pStyle w:val="Heading1"/>
        <w:pBdr>
          <w:bottom w:val="single" w:color="0F6B72" w:sz="8" w:space="4"/>
        </w:pBdr>
        <w:spacing w:after="160" w:before="360"/>
      </w:pPr>
      <w:r>
        <w:rPr>
          <w:rFonts w:ascii="Calibri" w:cs="Calibri" w:eastAsia="Calibri" w:hAnsi="Calibri"/>
          <w:b/>
          <w:bCs/>
          <w:color w:val="1F3864"/>
          <w:sz w:val="27"/>
          <w:szCs w:val="27"/>
        </w:rPr>
        <w:t xml:space="preserve">12.0  Activity-Specific Spill Prevention &amp; Response Procedures</w:t>
      </w:r>
    </w:p>
    <w:p>
      <w:pPr>
        <w:pStyle w:val="Heading2"/>
        <w:spacing w:after="120" w:before="240"/>
      </w:pPr>
      <w:r>
        <w:rPr>
          <w:rFonts w:ascii="Calibri" w:cs="Calibri" w:eastAsia="Calibri" w:hAnsi="Calibri"/>
          <w:b/>
          <w:bCs/>
          <w:color w:val="0F6B72"/>
          <w:sz w:val="23"/>
          <w:szCs w:val="23"/>
        </w:rPr>
        <w:t xml:space="preserve">12.1 Tank Cleaning Diluent Transfer (Crude Oil / Gas Oil / Detergent)</w:t>
      </w:r>
    </w:p>
    <w:p>
      <w:pPr>
        <w:pStyle w:val="ListParagraph"/>
        <w:numPr>
          <w:ilvl w:val="0"/>
          <w:numId w:val="2"/>
        </w:numPr>
        <w:spacing w:after="90" w:line="264"/>
      </w:pPr>
      <w:r>
        <w:rPr>
          <w:rFonts w:ascii="Calibri" w:cs="Calibri" w:eastAsia="Calibri" w:hAnsi="Calibri"/>
          <w:sz w:val="21"/>
          <w:szCs w:val="21"/>
        </w:rPr>
        <w:t xml:space="preserve">Work only under a valid Permit to Work with SDS available on-site;</w:t>
      </w:r>
    </w:p>
    <w:p>
      <w:pPr>
        <w:pStyle w:val="ListParagraph"/>
        <w:numPr>
          <w:ilvl w:val="0"/>
          <w:numId w:val="2"/>
        </w:numPr>
        <w:spacing w:after="90" w:line="264"/>
      </w:pPr>
      <w:r>
        <w:rPr>
          <w:rFonts w:ascii="Calibri" w:cs="Calibri" w:eastAsia="Calibri" w:hAnsi="Calibri"/>
          <w:sz w:val="21"/>
          <w:szCs w:val="21"/>
        </w:rPr>
        <w:t xml:space="preserve">Confirm tank is under inert (nitrogen) atmosphere with O₂ monitoring active and automatic shutdown enabled;</w:t>
      </w:r>
    </w:p>
    <w:p>
      <w:pPr>
        <w:pStyle w:val="ListParagraph"/>
        <w:numPr>
          <w:ilvl w:val="0"/>
          <w:numId w:val="2"/>
        </w:numPr>
        <w:spacing w:after="90" w:line="264"/>
      </w:pPr>
      <w:r>
        <w:rPr>
          <w:rFonts w:ascii="Calibri" w:cs="Calibri" w:eastAsia="Calibri" w:hAnsi="Calibri"/>
          <w:sz w:val="21"/>
          <w:szCs w:val="21"/>
        </w:rPr>
        <w:t xml:space="preserve">Ensure all lines are pressure-tested before commencing transfer;</w:t>
      </w:r>
    </w:p>
    <w:p>
      <w:pPr>
        <w:pStyle w:val="ListParagraph"/>
        <w:numPr>
          <w:ilvl w:val="0"/>
          <w:numId w:val="2"/>
        </w:numPr>
        <w:spacing w:after="90" w:line="264"/>
      </w:pPr>
      <w:r>
        <w:rPr>
          <w:rFonts w:ascii="Calibri" w:cs="Calibri" w:eastAsia="Calibri" w:hAnsi="Calibri"/>
          <w:sz w:val="21"/>
          <w:szCs w:val="21"/>
        </w:rPr>
        <w:t xml:space="preserve">Use ATEX-rated pump and bonded hosing to transfer product from pontoon; Oil Spill Kit to be positioned at the work area throughout.</w:t>
      </w:r>
    </w:p>
    <w:p>
      <w:pPr>
        <w:pStyle w:val="Heading2"/>
        <w:spacing w:after="120" w:before="240"/>
      </w:pPr>
      <w:r>
        <w:rPr>
          <w:rFonts w:ascii="Calibri" w:cs="Calibri" w:eastAsia="Calibri" w:hAnsi="Calibri"/>
          <w:b/>
          <w:bCs/>
          <w:color w:val="0F6B72"/>
          <w:sz w:val="23"/>
          <w:szCs w:val="23"/>
        </w:rPr>
        <w:t xml:space="preserve">12.2 Refuelling of Plant &amp; Equipment (Diesel)</w:t>
      </w:r>
    </w:p>
    <w:p>
      <w:pPr>
        <w:pStyle w:val="ListParagraph"/>
        <w:numPr>
          <w:ilvl w:val="0"/>
          <w:numId w:val="2"/>
        </w:numPr>
        <w:spacing w:after="90" w:line="264"/>
      </w:pPr>
      <w:r>
        <w:rPr>
          <w:rFonts w:ascii="Calibri" w:cs="Calibri" w:eastAsia="Calibri" w:hAnsi="Calibri"/>
          <w:sz w:val="21"/>
          <w:szCs w:val="21"/>
        </w:rPr>
        <w:t xml:space="preserve">Conduct a toolbox talk before starting and confirm with the supervisor what equipment is to be filled;</w:t>
      </w:r>
    </w:p>
    <w:p>
      <w:pPr>
        <w:pStyle w:val="ListParagraph"/>
        <w:numPr>
          <w:ilvl w:val="0"/>
          <w:numId w:val="2"/>
        </w:numPr>
        <w:spacing w:after="90" w:line="264"/>
      </w:pPr>
      <w:r>
        <w:rPr>
          <w:rFonts w:ascii="Calibri" w:cs="Calibri" w:eastAsia="Calibri" w:hAnsi="Calibri"/>
          <w:sz w:val="21"/>
          <w:szCs w:val="21"/>
        </w:rPr>
        <w:t xml:space="preserve">Identify the correct fuel filling point; place a spill tray locally to collect any drips;</w:t>
      </w:r>
    </w:p>
    <w:p>
      <w:pPr>
        <w:pStyle w:val="ListParagraph"/>
        <w:numPr>
          <w:ilvl w:val="0"/>
          <w:numId w:val="2"/>
        </w:numPr>
        <w:spacing w:after="90" w:line="264"/>
      </w:pPr>
      <w:r>
        <w:rPr>
          <w:rFonts w:ascii="Calibri" w:cs="Calibri" w:eastAsia="Calibri" w:hAnsi="Calibri"/>
          <w:sz w:val="21"/>
          <w:szCs w:val="21"/>
        </w:rPr>
        <w:t xml:space="preserve">Ensure a spill kit is at hand at the point of filling and check hose/equipment condition before filling;</w:t>
      </w:r>
    </w:p>
    <w:p>
      <w:pPr>
        <w:pStyle w:val="ListParagraph"/>
        <w:numPr>
          <w:ilvl w:val="0"/>
          <w:numId w:val="2"/>
        </w:numPr>
        <w:spacing w:after="90" w:line="264"/>
      </w:pPr>
      <w:r>
        <w:rPr>
          <w:rFonts w:ascii="Calibri" w:cs="Calibri" w:eastAsia="Calibri" w:hAnsi="Calibri"/>
          <w:sz w:val="21"/>
          <w:szCs w:val="21"/>
        </w:rPr>
        <w:t xml:space="preserve">Monitor filling at all times – never leave a fill in progress unattended; cordon off any hose run that presents a trip or vehicle-impact hazard.</w:t>
      </w:r>
    </w:p>
    <w:p>
      <w:pPr>
        <w:pStyle w:val="Heading2"/>
        <w:spacing w:after="120" w:before="240"/>
      </w:pPr>
      <w:r>
        <w:rPr>
          <w:rFonts w:ascii="Calibri" w:cs="Calibri" w:eastAsia="Calibri" w:hAnsi="Calibri"/>
          <w:b/>
          <w:bCs/>
          <w:color w:val="0F6B72"/>
          <w:sz w:val="23"/>
          <w:szCs w:val="23"/>
        </w:rPr>
        <w:t xml:space="preserve">12.3 Line Breaking / Spool Piece Removal</w:t>
      </w:r>
    </w:p>
    <w:p>
      <w:pPr>
        <w:pStyle w:val="ListParagraph"/>
        <w:numPr>
          <w:ilvl w:val="0"/>
          <w:numId w:val="2"/>
        </w:numPr>
        <w:spacing w:after="90" w:line="264"/>
      </w:pPr>
      <w:r>
        <w:rPr>
          <w:rFonts w:ascii="Calibri" w:cs="Calibri" w:eastAsia="Calibri" w:hAnsi="Calibri"/>
          <w:sz w:val="21"/>
          <w:szCs w:val="21"/>
        </w:rPr>
        <w:t xml:space="preserve">Drain the line as far as possible before breaking; place a portable spill tray under the flange before opening/rotating the spool;</w:t>
      </w:r>
    </w:p>
    <w:p>
      <w:pPr>
        <w:pStyle w:val="ListParagraph"/>
        <w:numPr>
          <w:ilvl w:val="0"/>
          <w:numId w:val="2"/>
        </w:numPr>
        <w:spacing w:after="90" w:line="264"/>
      </w:pPr>
      <w:r>
        <w:rPr>
          <w:rFonts w:ascii="Calibri" w:cs="Calibri" w:eastAsia="Calibri" w:hAnsi="Calibri"/>
          <w:sz w:val="21"/>
          <w:szCs w:val="21"/>
        </w:rPr>
        <w:t xml:space="preserve">Use the ADR Combination Unit to provide continuous suction of the spill tray during the procedure to capture any remaining product;</w:t>
      </w:r>
    </w:p>
    <w:p>
      <w:pPr>
        <w:pStyle w:val="ListParagraph"/>
        <w:numPr>
          <w:ilvl w:val="0"/>
          <w:numId w:val="2"/>
        </w:numPr>
        <w:spacing w:after="90" w:line="264"/>
      </w:pPr>
      <w:r>
        <w:rPr>
          <w:rFonts w:ascii="Calibri" w:cs="Calibri" w:eastAsia="Calibri" w:hAnsi="Calibri"/>
          <w:sz w:val="21"/>
          <w:szCs w:val="21"/>
        </w:rPr>
        <w:t xml:space="preserve">Crack the spool under controlled conditions to limit the volume of oil entering the spill tray;</w:t>
      </w:r>
    </w:p>
    <w:p>
      <w:pPr>
        <w:pStyle w:val="ListParagraph"/>
        <w:numPr>
          <w:ilvl w:val="0"/>
          <w:numId w:val="2"/>
        </w:numPr>
        <w:spacing w:after="90" w:line="264"/>
      </w:pPr>
      <w:r>
        <w:rPr>
          <w:rFonts w:ascii="Calibri" w:cs="Calibri" w:eastAsia="Calibri" w:hAnsi="Calibri"/>
          <w:sz w:val="21"/>
          <w:szCs w:val="21"/>
        </w:rPr>
        <w:t xml:space="preserve">Once discharge is complete, close valves, suction the lines dry and disconnect hoses before removing the spool; discharge recovered oil only at a point identified by the Renaissance representative.</w:t>
      </w:r>
    </w:p>
    <w:p>
      <w:pPr>
        <w:pStyle w:val="Heading2"/>
        <w:spacing w:after="120" w:before="240"/>
      </w:pPr>
      <w:r>
        <w:rPr>
          <w:rFonts w:ascii="Calibri" w:cs="Calibri" w:eastAsia="Calibri" w:hAnsi="Calibri"/>
          <w:b/>
          <w:bCs/>
          <w:color w:val="0F6B72"/>
          <w:sz w:val="23"/>
          <w:szCs w:val="23"/>
        </w:rPr>
        <w:t xml:space="preserve">12.4 Replacing Solids Containers / IBCs</w:t>
      </w:r>
    </w:p>
    <w:p>
      <w:pPr>
        <w:pStyle w:val="ListParagraph"/>
        <w:numPr>
          <w:ilvl w:val="0"/>
          <w:numId w:val="2"/>
        </w:numPr>
        <w:spacing w:after="90" w:line="264"/>
      </w:pPr>
      <w:r>
        <w:rPr>
          <w:rFonts w:ascii="Calibri" w:cs="Calibri" w:eastAsia="Calibri" w:hAnsi="Calibri"/>
          <w:sz w:val="21"/>
          <w:szCs w:val="21"/>
        </w:rPr>
        <w:t xml:space="preserve">Place the IBC on a spill pallet before filling; monitor filling and stop at approximately 75% to avoid overfilling;</w:t>
      </w:r>
    </w:p>
    <w:p>
      <w:pPr>
        <w:pStyle w:val="ListParagraph"/>
        <w:numPr>
          <w:ilvl w:val="0"/>
          <w:numId w:val="2"/>
        </w:numPr>
        <w:spacing w:after="90" w:line="264"/>
      </w:pPr>
      <w:r>
        <w:rPr>
          <w:rFonts w:ascii="Calibri" w:cs="Calibri" w:eastAsia="Calibri" w:hAnsi="Calibri"/>
          <w:sz w:val="21"/>
          <w:szCs w:val="21"/>
        </w:rPr>
        <w:t xml:space="preserve">Only UN-approved IBCs shall be used; move filled IBCs by certified forklift only, with the load secured.</w:t>
      </w:r>
    </w:p>
    <w:p>
      <w:pPr>
        <w:pStyle w:val="Heading2"/>
        <w:spacing w:after="120" w:before="240"/>
      </w:pPr>
      <w:r>
        <w:rPr>
          <w:rFonts w:ascii="Calibri" w:cs="Calibri" w:eastAsia="Calibri" w:hAnsi="Calibri"/>
          <w:b/>
          <w:bCs/>
          <w:color w:val="0F6B72"/>
          <w:sz w:val="23"/>
          <w:szCs w:val="23"/>
        </w:rPr>
        <w:t xml:space="preserve">12.5 Recovered Oil Tank Operations</w:t>
      </w:r>
    </w:p>
    <w:p>
      <w:pPr>
        <w:pStyle w:val="ListParagraph"/>
        <w:numPr>
          <w:ilvl w:val="0"/>
          <w:numId w:val="2"/>
        </w:numPr>
        <w:spacing w:after="90" w:line="264"/>
      </w:pPr>
      <w:r>
        <w:rPr>
          <w:rFonts w:ascii="Calibri" w:cs="Calibri" w:eastAsia="Calibri" w:hAnsi="Calibri"/>
          <w:sz w:val="21"/>
          <w:szCs w:val="21"/>
        </w:rPr>
        <w:t xml:space="preserve">Rely on the automatic level-sensor/alarm system to maintain constant tank level and prevent overfill;</w:t>
      </w:r>
    </w:p>
    <w:p>
      <w:pPr>
        <w:pStyle w:val="ListParagraph"/>
        <w:numPr>
          <w:ilvl w:val="0"/>
          <w:numId w:val="2"/>
        </w:numPr>
        <w:spacing w:after="90" w:line="264"/>
      </w:pPr>
      <w:r>
        <w:rPr>
          <w:rFonts w:ascii="Calibri" w:cs="Calibri" w:eastAsia="Calibri" w:hAnsi="Calibri"/>
          <w:sz w:val="21"/>
          <w:szCs w:val="21"/>
        </w:rPr>
        <w:t xml:space="preserve">Investigate any high-level alarm immediately and do not override automatic pump shut-down without HESO authorisation.</w:t>
      </w:r>
    </w:p>
    <w:p>
      <w:pPr>
        <w:pStyle w:val="Heading2"/>
        <w:spacing w:after="120" w:before="240"/>
      </w:pPr>
      <w:r>
        <w:rPr>
          <w:rFonts w:ascii="Calibri" w:cs="Calibri" w:eastAsia="Calibri" w:hAnsi="Calibri"/>
          <w:b/>
          <w:bCs/>
          <w:color w:val="0F6B72"/>
          <w:sz w:val="23"/>
          <w:szCs w:val="23"/>
        </w:rPr>
        <w:t xml:space="preserve">12.6 Waste &amp; Product Transport (Tankers/Vessels)</w:t>
      </w:r>
    </w:p>
    <w:p>
      <w:pPr>
        <w:pStyle w:val="ListParagraph"/>
        <w:numPr>
          <w:ilvl w:val="0"/>
          <w:numId w:val="2"/>
        </w:numPr>
        <w:spacing w:after="90" w:line="264"/>
      </w:pPr>
      <w:r>
        <w:rPr>
          <w:rFonts w:ascii="Calibri" w:cs="Calibri" w:eastAsia="Calibri" w:hAnsi="Calibri"/>
          <w:sz w:val="21"/>
          <w:szCs w:val="21"/>
        </w:rPr>
        <w:t xml:space="preserve">Confirm the composition of waste/product is tested and matches the Renaissance Tank data before loading;</w:t>
      </w:r>
    </w:p>
    <w:p>
      <w:pPr>
        <w:pStyle w:val="ListParagraph"/>
        <w:numPr>
          <w:ilvl w:val="0"/>
          <w:numId w:val="2"/>
        </w:numPr>
        <w:spacing w:after="90" w:line="264"/>
      </w:pPr>
      <w:r>
        <w:rPr>
          <w:rFonts w:ascii="Calibri" w:cs="Calibri" w:eastAsia="Calibri" w:hAnsi="Calibri"/>
          <w:sz w:val="21"/>
          <w:szCs w:val="21"/>
        </w:rPr>
        <w:t xml:space="preserve">Confirm the vehicle’s ADR classification matches the material being transported (Class 3 for hydrocarbons) and that the current Renaissance Oil Inspection Sticker is affixed;</w:t>
      </w:r>
    </w:p>
    <w:p>
      <w:pPr>
        <w:pStyle w:val="ListParagraph"/>
        <w:numPr>
          <w:ilvl w:val="0"/>
          <w:numId w:val="2"/>
        </w:numPr>
        <w:spacing w:after="90" w:line="264"/>
      </w:pPr>
      <w:r>
        <w:rPr>
          <w:rFonts w:ascii="Calibri" w:cs="Calibri" w:eastAsia="Calibri" w:hAnsi="Calibri"/>
          <w:sz w:val="21"/>
          <w:szCs w:val="21"/>
        </w:rPr>
        <w:t xml:space="preserve">Confirm the tanker/vessel is empty and clean prior to loading; wash out in the Renaissance-designated area if necessary, to avoid cross-contamination.</w:t>
      </w:r>
    </w:p>
    <w:p>
      <w:pPr>
        <w:pStyle w:val="Heading1"/>
        <w:pBdr>
          <w:bottom w:val="single" w:color="0F6B72" w:sz="8" w:space="4"/>
        </w:pBdr>
        <w:spacing w:after="160" w:before="360"/>
      </w:pPr>
      <w:r>
        <w:rPr>
          <w:rFonts w:ascii="Calibri" w:cs="Calibri" w:eastAsia="Calibri" w:hAnsi="Calibri"/>
          <w:b/>
          <w:bCs/>
          <w:color w:val="1F3864"/>
          <w:sz w:val="27"/>
          <w:szCs w:val="27"/>
        </w:rPr>
        <w:t xml:space="preserve">13.0  Spill Notification &amp; Reporting</w:t>
      </w:r>
    </w:p>
    <w:p>
      <w:pPr>
        <w:spacing w:after="160" w:line="276"/>
      </w:pPr>
      <w:r>
        <w:rPr>
          <w:rFonts w:ascii="Calibri" w:cs="Calibri" w:eastAsia="Calibri" w:hAnsi="Calibri"/>
          <w:sz w:val="21"/>
          <w:szCs w:val="21"/>
        </w:rPr>
        <w:t xml:space="preserve">All spills, regardless of size, shall be reported through SWDA’s internal notification chain. Tier 2 and Tier 3 spills additionally trigger Client and statutory notification, consistent with SWDA’s Integrated Response Flow Chart and NUPRC/FEPA-NESREA reporting obligations.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600"/>
        <w:gridCol w:w="4100"/>
        <w:gridCol w:w="2700"/>
      </w:tblGrid>
      <w:tr>
        <w:trPr>
          <w:tblHeader/>
        </w:trPr>
        <w:tc>
          <w:tcPr>
            <w:tcW w:type="dxa" w:w="26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Notification Step</w:t>
            </w:r>
          </w:p>
        </w:tc>
        <w:tc>
          <w:tcPr>
            <w:tcW w:type="dxa" w:w="41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Action</w:t>
            </w:r>
          </w:p>
        </w:tc>
        <w:tc>
          <w:tcPr>
            <w:tcW w:type="dxa" w:w="27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Responsible</w:t>
            </w:r>
          </w:p>
        </w:tc>
      </w:tr>
      <w:tr>
        <w:tc>
          <w:tcPr>
            <w:tcW w:type="dxa" w:w="2600"/>
            <w:tcMar>
              <w:top w:type="dxa" w:w="100"/>
              <w:left w:type="dxa" w:w="120"/>
              <w:bottom w:type="dxa" w:w="100"/>
              <w:right w:type="dxa" w:w="120"/>
            </w:tcMar>
            <w:vAlign w:val="center"/>
          </w:tcPr>
          <w:p>
            <w:r>
              <w:rPr>
                <w:rFonts w:ascii="Calibri" w:cs="Calibri" w:eastAsia="Calibri" w:hAnsi="Calibri"/>
                <w:b w:val="false"/>
                <w:bCs w:val="false"/>
                <w:sz w:val="18"/>
                <w:szCs w:val="18"/>
              </w:rPr>
              <w:t xml:space="preserve">1. Immediate (all tiers)</w:t>
            </w:r>
          </w:p>
        </w:tc>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Report spill to Site Supervisor at first discovery</w:t>
            </w:r>
          </w:p>
        </w:tc>
        <w:tc>
          <w:tcPr>
            <w:tcW w:type="dxa" w:w="2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Person discovering the spill</w:t>
            </w:r>
          </w:p>
        </w:tc>
      </w:tr>
      <w:tr>
        <w:tc>
          <w:tcPr>
            <w:tcW w:type="dxa" w:w="26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2. Within site shift</w:t>
            </w:r>
          </w:p>
        </w:tc>
        <w:tc>
          <w:tcPr>
            <w:tcW w:type="dxa" w:w="41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Inform HESO and Project Manager; log in site HSE log</w:t>
            </w:r>
          </w:p>
        </w:tc>
        <w:tc>
          <w:tcPr>
            <w:tcW w:type="dxa" w:w="27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Site Supervisor</w:t>
            </w:r>
          </w:p>
        </w:tc>
      </w:tr>
      <w:tr>
        <w:tc>
          <w:tcPr>
            <w:tcW w:type="dxa" w:w="2600"/>
            <w:tcMar>
              <w:top w:type="dxa" w:w="100"/>
              <w:left w:type="dxa" w:w="120"/>
              <w:bottom w:type="dxa" w:w="100"/>
              <w:right w:type="dxa" w:w="120"/>
            </w:tcMar>
            <w:vAlign w:val="center"/>
          </w:tcPr>
          <w:p>
            <w:r>
              <w:rPr>
                <w:rFonts w:ascii="Calibri" w:cs="Calibri" w:eastAsia="Calibri" w:hAnsi="Calibri"/>
                <w:b w:val="false"/>
                <w:bCs w:val="false"/>
                <w:sz w:val="18"/>
                <w:szCs w:val="18"/>
              </w:rPr>
              <w:t xml:space="preserve">3. Tier 2/3 – immediate</w:t>
            </w:r>
          </w:p>
        </w:tc>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Notify Renaissance/RAEC site representative and SWDA Duty Manager, Lagos</w:t>
            </w:r>
          </w:p>
        </w:tc>
        <w:tc>
          <w:tcPr>
            <w:tcW w:type="dxa" w:w="2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HESO / Project Manager</w:t>
            </w:r>
          </w:p>
        </w:tc>
      </w:tr>
      <w:tr>
        <w:tc>
          <w:tcPr>
            <w:tcW w:type="dxa" w:w="26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4. Tier 3 – as required by law</w:t>
            </w:r>
          </w:p>
        </w:tc>
        <w:tc>
          <w:tcPr>
            <w:tcW w:type="dxa" w:w="41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Notify NUPRC and NESREA/relevant State environmental authority within statutory timeframes; mobilise external spill responders if required</w:t>
            </w:r>
          </w:p>
        </w:tc>
        <w:tc>
          <w:tcPr>
            <w:tcW w:type="dxa" w:w="27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Project Manager / HSE Manager, with Renaissance/RAEC</w:t>
            </w:r>
          </w:p>
        </w:tc>
      </w:tr>
      <w:tr>
        <w:tc>
          <w:tcPr>
            <w:tcW w:type="dxa" w:w="2600"/>
            <w:tcMar>
              <w:top w:type="dxa" w:w="100"/>
              <w:left w:type="dxa" w:w="120"/>
              <w:bottom w:type="dxa" w:w="100"/>
              <w:right w:type="dxa" w:w="120"/>
            </w:tcMar>
            <w:vAlign w:val="center"/>
          </w:tcPr>
          <w:p>
            <w:r>
              <w:rPr>
                <w:rFonts w:ascii="Calibri" w:cs="Calibri" w:eastAsia="Calibri" w:hAnsi="Calibri"/>
                <w:b w:val="false"/>
                <w:bCs w:val="false"/>
                <w:sz w:val="18"/>
                <w:szCs w:val="18"/>
              </w:rPr>
              <w:t xml:space="preserve">5. Close-out</w:t>
            </w:r>
          </w:p>
        </w:tc>
        <w:tc>
          <w:tcPr>
            <w:tcW w:type="dxa" w:w="41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Submit written Spill / Environmental Incident Report (Attachment B) and corrective action tracking</w:t>
            </w:r>
          </w:p>
        </w:tc>
        <w:tc>
          <w:tcPr>
            <w:tcW w:type="dxa" w:w="2700"/>
            <w:tcMar>
              <w:top w:type="dxa" w:w="100"/>
              <w:left w:type="dxa" w:w="120"/>
              <w:bottom w:type="dxa" w:w="100"/>
              <w:right w:type="dxa" w:w="120"/>
            </w:tcMar>
            <w:vAlign w:val="center"/>
          </w:tcPr>
          <w:p>
            <w:r>
              <w:rPr>
                <w:rFonts w:ascii="Calibri" w:cs="Calibri" w:eastAsia="Calibri" w:hAnsi="Calibri"/>
                <w:b w:val="false"/>
                <w:bCs w:val="false"/>
                <w:sz w:val="18"/>
                <w:szCs w:val="18"/>
              </w:rPr>
              <w:t xml:space="preserve">HESO</w:t>
            </w:r>
          </w:p>
        </w:tc>
      </w:tr>
    </w:tbl>
    <w:p>
      <w:pPr>
        <w:spacing w:after="160" w:line="276"/>
      </w:pPr>
      <w:r>
        <w:rPr>
          <w:rFonts w:ascii="Calibri" w:cs="Calibri" w:eastAsia="Calibri" w:hAnsi="Calibri"/>
          <w:sz w:val="21"/>
          <w:szCs w:val="21"/>
        </w:rPr>
        <w:t xml:space="preserve">SWDA shall keep the Client informed of all ongoing spill response activities throughout, consistent with SWDA’s Integrated Response Flow Chart used for all incident types on this Project.</w:t>
      </w:r>
    </w:p>
    <w:p>
      <w:pPr>
        <w:pStyle w:val="Heading1"/>
        <w:pBdr>
          <w:bottom w:val="single" w:color="0F6B72" w:sz="8" w:space="4"/>
        </w:pBdr>
        <w:spacing w:after="160" w:before="360"/>
      </w:pPr>
      <w:r>
        <w:rPr>
          <w:rFonts w:ascii="Calibri" w:cs="Calibri" w:eastAsia="Calibri" w:hAnsi="Calibri"/>
          <w:b/>
          <w:bCs/>
          <w:color w:val="1F3864"/>
          <w:sz w:val="27"/>
          <w:szCs w:val="27"/>
        </w:rPr>
        <w:t xml:space="preserve">14.0  Spill Waste Management &amp; Disposal</w:t>
      </w:r>
    </w:p>
    <w:p>
      <w:pPr>
        <w:spacing w:after="160" w:line="276"/>
      </w:pPr>
      <w:r>
        <w:rPr>
          <w:rFonts w:ascii="Calibri" w:cs="Calibri" w:eastAsia="Calibri" w:hAnsi="Calibri"/>
          <w:sz w:val="21"/>
          <w:szCs w:val="21"/>
        </w:rPr>
        <w:t xml:space="preserve">Materials generated during spill clean-up (oily absorbents, contaminated rags, booms, recovered sludge) are managed as industrial/hazardous waste in accordance with the Project Waste Management Plan (WMP):</w:t>
      </w:r>
    </w:p>
    <w:p>
      <w:pPr>
        <w:pStyle w:val="ListParagraph"/>
        <w:numPr>
          <w:ilvl w:val="0"/>
          <w:numId w:val="2"/>
        </w:numPr>
        <w:spacing w:after="90" w:line="264"/>
      </w:pPr>
      <w:r>
        <w:rPr>
          <w:rFonts w:ascii="Calibri" w:cs="Calibri" w:eastAsia="Calibri" w:hAnsi="Calibri"/>
          <w:sz w:val="21"/>
          <w:szCs w:val="21"/>
        </w:rPr>
        <w:t xml:space="preserve">Oily absorbents and rags are collected and stored in clearly marked bins at a Renaissance-designated area pending off-site disposal;</w:t>
      </w:r>
    </w:p>
    <w:p>
      <w:pPr>
        <w:pStyle w:val="ListParagraph"/>
        <w:numPr>
          <w:ilvl w:val="0"/>
          <w:numId w:val="2"/>
        </w:numPr>
        <w:spacing w:after="90" w:line="264"/>
      </w:pPr>
      <w:r>
        <w:rPr>
          <w:rFonts w:ascii="Calibri" w:cs="Calibri" w:eastAsia="Calibri" w:hAnsi="Calibri"/>
          <w:sz w:val="21"/>
          <w:szCs w:val="21"/>
        </w:rPr>
        <w:t xml:space="preserve">All spill-derived waste is classified, tracked and manifested using the SWDA Waste Tracking &amp; Manifesting Form and an NUPRC-approved waste manifest;</w:t>
      </w:r>
    </w:p>
    <w:p>
      <w:pPr>
        <w:pStyle w:val="ListParagraph"/>
        <w:numPr>
          <w:ilvl w:val="0"/>
          <w:numId w:val="2"/>
        </w:numPr>
        <w:spacing w:after="90" w:line="264"/>
      </w:pPr>
      <w:r>
        <w:rPr>
          <w:rFonts w:ascii="Calibri" w:cs="Calibri" w:eastAsia="Calibri" w:hAnsi="Calibri"/>
          <w:sz w:val="21"/>
          <w:szCs w:val="21"/>
        </w:rPr>
        <w:t xml:space="preserve">Disposal, recycling or treatment is carried out only through licensed transfer stations and disposal facilities, with subcontractors evaluated to confirm conformance with NUPRC (DPR) and FEPA/NESREA regulations;</w:t>
      </w:r>
    </w:p>
    <w:p>
      <w:pPr>
        <w:pStyle w:val="ListParagraph"/>
        <w:numPr>
          <w:ilvl w:val="0"/>
          <w:numId w:val="2"/>
        </w:numPr>
        <w:spacing w:after="90" w:line="264"/>
      </w:pPr>
      <w:r>
        <w:rPr>
          <w:rFonts w:ascii="Calibri" w:cs="Calibri" w:eastAsia="Calibri" w:hAnsi="Calibri"/>
          <w:sz w:val="21"/>
          <w:szCs w:val="21"/>
        </w:rPr>
        <w:t xml:space="preserve">Records of all spill-related waste transport, treatment and final disposal location are retained by the HESO/Logistics Officer as auditable records.</w:t>
      </w:r>
    </w:p>
    <w:p>
      <w:pPr>
        <w:spacing w:after="160" w:line="276"/>
      </w:pPr>
      <w:r>
        <w:rPr>
          <w:rFonts w:ascii="Calibri" w:cs="Calibri" w:eastAsia="Calibri" w:hAnsi="Calibri"/>
          <w:sz w:val="21"/>
          <w:szCs w:val="21"/>
        </w:rPr>
        <w:t xml:space="preserve">Dumping of any spill-contaminated waste, or discharge of contaminated wash water, into creeks, rivers or other watercourses is strictly prohibited under SWDA’s Waste Management Policy.</w:t>
      </w:r>
    </w:p>
    <w:p>
      <w:pPr>
        <w:pStyle w:val="Heading1"/>
        <w:pBdr>
          <w:bottom w:val="single" w:color="0F6B72" w:sz="8" w:space="4"/>
        </w:pBdr>
        <w:spacing w:after="160" w:before="360"/>
      </w:pPr>
      <w:r>
        <w:rPr>
          <w:rFonts w:ascii="Calibri" w:cs="Calibri" w:eastAsia="Calibri" w:hAnsi="Calibri"/>
          <w:b/>
          <w:bCs/>
          <w:color w:val="1F3864"/>
          <w:sz w:val="27"/>
          <w:szCs w:val="27"/>
        </w:rPr>
        <w:t xml:space="preserve">15.0  Site Restoration</w:t>
      </w:r>
    </w:p>
    <w:p>
      <w:pPr>
        <w:spacing w:after="160" w:line="276"/>
      </w:pPr>
      <w:r>
        <w:rPr>
          <w:rFonts w:ascii="Calibri" w:cs="Calibri" w:eastAsia="Calibri" w:hAnsi="Calibri"/>
          <w:sz w:val="21"/>
          <w:szCs w:val="21"/>
        </w:rPr>
        <w:t xml:space="preserve">Following clean-up of any spill, the affected area shall be inspected, tested (where applicable) and, where necessary, remediated so that, consistent with SWDA’s Environmental Policy, the work site is left in a condition as near as possible to its state before the commencement of work. This includes removal of all contaminated soil/absorbent material, visual and, where required, analytical confirmation of clean-up effectiveness, and sign-off by the HESO before the area is returned to service or handed back to Renaissance/RAEC.</w:t>
      </w:r>
    </w:p>
    <w:p>
      <w:pPr>
        <w:pStyle w:val="Heading1"/>
        <w:pBdr>
          <w:bottom w:val="single" w:color="0F6B72" w:sz="8" w:space="4"/>
        </w:pBdr>
        <w:spacing w:after="160" w:before="360"/>
      </w:pPr>
      <w:r>
        <w:rPr>
          <w:rFonts w:ascii="Calibri" w:cs="Calibri" w:eastAsia="Calibri" w:hAnsi="Calibri"/>
          <w:b/>
          <w:bCs/>
          <w:color w:val="1F3864"/>
          <w:sz w:val="27"/>
          <w:szCs w:val="27"/>
        </w:rPr>
        <w:t xml:space="preserve">16.0  Training, Drills &amp; Competency</w:t>
      </w:r>
    </w:p>
    <w:p>
      <w:pPr>
        <w:spacing w:after="160" w:line="276"/>
      </w:pPr>
      <w:r>
        <w:rPr>
          <w:rFonts w:ascii="Calibri" w:cs="Calibri" w:eastAsia="Calibri" w:hAnsi="Calibri"/>
          <w:sz w:val="21"/>
          <w:szCs w:val="21"/>
        </w:rPr>
        <w:t xml:space="preserve">All personnel receive spill-awareness training as part of site induction. In addition:</w:t>
      </w:r>
    </w:p>
    <w:p>
      <w:pPr>
        <w:pStyle w:val="ListParagraph"/>
        <w:numPr>
          <w:ilvl w:val="0"/>
          <w:numId w:val="2"/>
        </w:numPr>
        <w:spacing w:after="90" w:line="264"/>
      </w:pPr>
      <w:r>
        <w:rPr>
          <w:rFonts w:ascii="Calibri" w:cs="Calibri" w:eastAsia="Calibri" w:hAnsi="Calibri"/>
          <w:sz w:val="21"/>
          <w:szCs w:val="21"/>
        </w:rPr>
        <w:t xml:space="preserve">Spill response training is provided to Site Supervisors, HESO and designated first responders, covering use of spill kits, booms, absorbents and bio-surfactant;</w:t>
      </w:r>
    </w:p>
    <w:p>
      <w:pPr>
        <w:pStyle w:val="ListParagraph"/>
        <w:numPr>
          <w:ilvl w:val="0"/>
          <w:numId w:val="2"/>
        </w:numPr>
        <w:spacing w:after="90" w:line="264"/>
      </w:pPr>
      <w:r>
        <w:rPr>
          <w:rFonts w:ascii="Calibri" w:cs="Calibri" w:eastAsia="Calibri" w:hAnsi="Calibri"/>
          <w:sz w:val="21"/>
          <w:szCs w:val="21"/>
        </w:rPr>
        <w:t xml:space="preserve">Community HSE awareness campaigns, including oil spill response awareness, are conducted for host communities as part of the Project’s Community Engagement Plan;</w:t>
      </w:r>
    </w:p>
    <w:p>
      <w:pPr>
        <w:pStyle w:val="ListParagraph"/>
        <w:numPr>
          <w:ilvl w:val="0"/>
          <w:numId w:val="2"/>
        </w:numPr>
        <w:spacing w:after="90" w:line="264"/>
      </w:pPr>
      <w:r>
        <w:rPr>
          <w:rFonts w:ascii="Calibri" w:cs="Calibri" w:eastAsia="Calibri" w:hAnsi="Calibri"/>
          <w:sz w:val="21"/>
          <w:szCs w:val="21"/>
        </w:rPr>
        <w:t xml:space="preserve">Periodic spill response drills/exercises are conducted at each Tank Site, with outcomes recorded and used to improve this procedure;</w:t>
      </w:r>
    </w:p>
    <w:p>
      <w:pPr>
        <w:pStyle w:val="ListParagraph"/>
        <w:numPr>
          <w:ilvl w:val="0"/>
          <w:numId w:val="2"/>
        </w:numPr>
        <w:spacing w:after="90" w:line="264"/>
      </w:pPr>
      <w:r>
        <w:rPr>
          <w:rFonts w:ascii="Calibri" w:cs="Calibri" w:eastAsia="Calibri" w:hAnsi="Calibri"/>
          <w:sz w:val="21"/>
          <w:szCs w:val="21"/>
        </w:rPr>
        <w:t xml:space="preserve">Training records are maintained and refreshed in line with SWDA’s HSE-MS training requirements.</w:t>
      </w:r>
    </w:p>
    <w:p>
      <w:pPr>
        <w:pStyle w:val="Heading1"/>
        <w:pBdr>
          <w:bottom w:val="single" w:color="0F6B72" w:sz="8" w:space="4"/>
        </w:pBdr>
        <w:spacing w:after="160" w:before="360"/>
      </w:pPr>
      <w:r>
        <w:rPr>
          <w:rFonts w:ascii="Calibri" w:cs="Calibri" w:eastAsia="Calibri" w:hAnsi="Calibri"/>
          <w:b/>
          <w:bCs/>
          <w:color w:val="1F3864"/>
          <w:sz w:val="27"/>
          <w:szCs w:val="27"/>
        </w:rPr>
        <w:t xml:space="preserve">17.0  Monitoring, Inspection &amp; Audit</w:t>
      </w:r>
    </w:p>
    <w:p>
      <w:pPr>
        <w:spacing w:after="160" w:line="276"/>
      </w:pPr>
      <w:r>
        <w:rPr>
          <w:rFonts w:ascii="Calibri" w:cs="Calibri" w:eastAsia="Calibri" w:hAnsi="Calibri"/>
          <w:sz w:val="21"/>
          <w:szCs w:val="21"/>
        </w:rPr>
        <w:t xml:space="preserve">Compliance with this procedure is monitored through:</w:t>
      </w:r>
    </w:p>
    <w:p>
      <w:pPr>
        <w:pStyle w:val="ListParagraph"/>
        <w:numPr>
          <w:ilvl w:val="0"/>
          <w:numId w:val="2"/>
        </w:numPr>
        <w:spacing w:after="90" w:line="264"/>
      </w:pPr>
      <w:r>
        <w:rPr>
          <w:rFonts w:ascii="Calibri" w:cs="Calibri" w:eastAsia="Calibri" w:hAnsi="Calibri"/>
          <w:sz w:val="21"/>
          <w:szCs w:val="21"/>
        </w:rPr>
        <w:t xml:space="preserve">Daily housekeeping and spill-control checks by Site Supervisors;</w:t>
      </w:r>
    </w:p>
    <w:p>
      <w:pPr>
        <w:pStyle w:val="ListParagraph"/>
        <w:numPr>
          <w:ilvl w:val="0"/>
          <w:numId w:val="2"/>
        </w:numPr>
        <w:spacing w:after="90" w:line="264"/>
      </w:pPr>
      <w:r>
        <w:rPr>
          <w:rFonts w:ascii="Calibri" w:cs="Calibri" w:eastAsia="Calibri" w:hAnsi="Calibri"/>
          <w:sz w:val="21"/>
          <w:szCs w:val="21"/>
        </w:rPr>
        <w:t xml:space="preserve">Routine HESO site visits and audits, with findings reported to the Project Manager for evaluation and improvement, consistent with SWDA’s WMP monitoring responsibilities;</w:t>
      </w:r>
    </w:p>
    <w:p>
      <w:pPr>
        <w:pStyle w:val="ListParagraph"/>
        <w:numPr>
          <w:ilvl w:val="0"/>
          <w:numId w:val="2"/>
        </w:numPr>
        <w:spacing w:after="90" w:line="264"/>
      </w:pPr>
      <w:r>
        <w:rPr>
          <w:rFonts w:ascii="Calibri" w:cs="Calibri" w:eastAsia="Calibri" w:hAnsi="Calibri"/>
          <w:sz w:val="21"/>
          <w:szCs w:val="21"/>
        </w:rPr>
        <w:t xml:space="preserve">Verification that spill kits, bio-surfactant stocks and containment equipment are complete, in date and correctly staged, before and during mobilisation to each Tank Site;</w:t>
      </w:r>
    </w:p>
    <w:p>
      <w:pPr>
        <w:pStyle w:val="ListParagraph"/>
        <w:numPr>
          <w:ilvl w:val="0"/>
          <w:numId w:val="2"/>
        </w:numPr>
        <w:spacing w:after="90" w:line="264"/>
      </w:pPr>
      <w:r>
        <w:rPr>
          <w:rFonts w:ascii="Calibri" w:cs="Calibri" w:eastAsia="Calibri" w:hAnsi="Calibri"/>
          <w:sz w:val="21"/>
          <w:szCs w:val="21"/>
        </w:rPr>
        <w:t xml:space="preserve">Trending of spill/near-miss data as part of the Project’s HSE Key Performance Indicators (KPIs), with results reviewed and corrective actions tracked to close-out.</w:t>
      </w:r>
    </w:p>
    <w:p>
      <w:pPr>
        <w:pStyle w:val="Heading1"/>
        <w:pBdr>
          <w:bottom w:val="single" w:color="0F6B72" w:sz="8" w:space="4"/>
        </w:pBdr>
        <w:spacing w:after="160" w:before="360"/>
      </w:pPr>
      <w:r>
        <w:rPr>
          <w:rFonts w:ascii="Calibri" w:cs="Calibri" w:eastAsia="Calibri" w:hAnsi="Calibri"/>
          <w:b/>
          <w:bCs/>
          <w:color w:val="1F3864"/>
          <w:sz w:val="27"/>
          <w:szCs w:val="27"/>
        </w:rPr>
        <w:t xml:space="preserve">18.0  Records &amp; Document Control</w:t>
      </w:r>
    </w:p>
    <w:p>
      <w:pPr>
        <w:spacing w:after="160" w:line="276"/>
      </w:pPr>
      <w:r>
        <w:rPr>
          <w:rFonts w:ascii="Calibri" w:cs="Calibri" w:eastAsia="Calibri" w:hAnsi="Calibri"/>
          <w:sz w:val="21"/>
          <w:szCs w:val="21"/>
        </w:rPr>
        <w:t xml:space="preserve">This document is controlled as part of the Project HSE Plan documentation set. Copies shall be held at the SWDA Lagos office and be available for reference at each Tank Site. It shall be reviewed at Project mobilisation, after any Tier 2/3 spill event, and at least annually, with all revisions recorded in the Document Control table on the title page.</w:t>
      </w:r>
    </w:p>
    <w:p>
      <w:r>
        <w:br w:type="page"/>
      </w:r>
    </w:p>
    <w:p>
      <w:pPr>
        <w:pStyle w:val="Heading1"/>
        <w:pBdr>
          <w:bottom w:val="single" w:color="0F6B72" w:sz="8" w:space="4"/>
        </w:pBdr>
        <w:spacing w:after="160" w:before="360"/>
      </w:pPr>
      <w:r>
        <w:rPr>
          <w:rFonts w:ascii="Calibri" w:cs="Calibri" w:eastAsia="Calibri" w:hAnsi="Calibri"/>
          <w:b/>
          <w:bCs/>
          <w:color w:val="1F3864"/>
          <w:sz w:val="27"/>
          <w:szCs w:val="27"/>
        </w:rPr>
        <w:t xml:space="preserve">  Attachment A – Spill Kit Inventory &amp; Locations</w:t>
      </w:r>
    </w:p>
    <w:p>
      <w:pPr>
        <w:spacing w:after="160" w:line="276"/>
      </w:pPr>
      <w:r>
        <w:rPr>
          <w:rFonts w:ascii="Calibri" w:cs="Calibri" w:eastAsia="Calibri" w:hAnsi="Calibri"/>
          <w:sz w:val="21"/>
          <w:szCs w:val="21"/>
        </w:rPr>
        <w:t xml:space="preserve">(To be completed and verified on mobilisation to each Tank Site – the table below provides the baseline Project inventory; site-specific quantities shall be confirmed by the HESO.)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200"/>
        <w:gridCol w:w="1600"/>
        <w:gridCol w:w="2200"/>
        <w:gridCol w:w="2000"/>
      </w:tblGrid>
      <w:tr>
        <w:trPr>
          <w:tblHeader/>
        </w:trPr>
        <w:tc>
          <w:tcPr>
            <w:tcW w:type="dxa" w:w="32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Item</w:t>
            </w:r>
          </w:p>
        </w:tc>
        <w:tc>
          <w:tcPr>
            <w:tcW w:type="dxa" w:w="16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Qty (Project)</w:t>
            </w:r>
          </w:p>
        </w:tc>
        <w:tc>
          <w:tcPr>
            <w:tcW w:type="dxa" w:w="22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Location</w:t>
            </w:r>
          </w:p>
        </w:tc>
        <w:tc>
          <w:tcPr>
            <w:tcW w:type="dxa" w:w="200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Last Inspected</w:t>
            </w:r>
          </w:p>
        </w:tc>
      </w:tr>
      <w:tr>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400-L Sludge Spill Recovery Drums (absorbent pads, rolls &amp; boom)</w:t>
            </w:r>
          </w:p>
        </w:tc>
        <w:tc>
          <w:tcPr>
            <w:tcW w:type="dxa" w:w="1600"/>
            <w:tcMar>
              <w:top w:type="dxa" w:w="100"/>
              <w:left w:type="dxa" w:w="120"/>
              <w:bottom w:type="dxa" w:w="100"/>
              <w:right w:type="dxa" w:w="120"/>
            </w:tcMar>
            <w:vAlign w:val="center"/>
          </w:tcPr>
          <w:p>
            <w:r>
              <w:rPr>
                <w:rFonts w:ascii="Calibri" w:cs="Calibri" w:eastAsia="Calibri" w:hAnsi="Calibri"/>
                <w:b w:val="false"/>
                <w:bCs w:val="false"/>
                <w:sz w:val="18"/>
                <w:szCs w:val="18"/>
              </w:rPr>
              <w:t xml:space="preserve">2</w:t>
            </w:r>
          </w:p>
        </w:tc>
        <w:tc>
          <w:tcPr>
            <w:tcW w:type="dxa" w:w="2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&amp; Skip Areas / Kidney Island Warehouse</w:t>
            </w:r>
          </w:p>
        </w:tc>
        <w:tc>
          <w:tcPr>
            <w:tcW w:type="dxa" w:w="200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250-L Biodegradable Bio-Surfactant Drums</w:t>
            </w:r>
          </w:p>
        </w:tc>
        <w:tc>
          <w:tcPr>
            <w:tcW w:type="dxa" w:w="16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4</w:t>
            </w:r>
          </w:p>
        </w:tc>
        <w:tc>
          <w:tcPr>
            <w:tcW w:type="dxa" w:w="2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Kidney Island Warehouse</w:t>
            </w:r>
          </w:p>
        </w:tc>
        <w:tc>
          <w:tcPr>
            <w:tcW w:type="dxa" w:w="20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Oil Spill Kit</w:t>
            </w:r>
          </w:p>
        </w:tc>
        <w:tc>
          <w:tcPr>
            <w:tcW w:type="dxa" w:w="1600"/>
            <w:tcMar>
              <w:top w:type="dxa" w:w="100"/>
              <w:left w:type="dxa" w:w="120"/>
              <w:bottom w:type="dxa" w:w="100"/>
              <w:right w:type="dxa" w:w="120"/>
            </w:tcMar>
            <w:vAlign w:val="center"/>
          </w:tcPr>
          <w:p>
            <w:r>
              <w:rPr>
                <w:rFonts w:ascii="Calibri" w:cs="Calibri" w:eastAsia="Calibri" w:hAnsi="Calibri"/>
                <w:b w:val="false"/>
                <w:bCs w:val="false"/>
                <w:sz w:val="18"/>
                <w:szCs w:val="18"/>
              </w:rPr>
              <w:t xml:space="preserve">Per Tank Site</w:t>
            </w:r>
          </w:p>
        </w:tc>
        <w:tc>
          <w:tcPr>
            <w:tcW w:type="dxa" w:w="2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Tank Cleaning Work Area</w:t>
            </w:r>
          </w:p>
        </w:tc>
        <w:tc>
          <w:tcPr>
            <w:tcW w:type="dxa" w:w="200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Spill Kit</w:t>
            </w:r>
          </w:p>
        </w:tc>
        <w:tc>
          <w:tcPr>
            <w:tcW w:type="dxa" w:w="16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Per Tank Site</w:t>
            </w:r>
          </w:p>
        </w:tc>
        <w:tc>
          <w:tcPr>
            <w:tcW w:type="dxa" w:w="2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Storage / Spill Pallet Area</w:t>
            </w:r>
          </w:p>
        </w:tc>
        <w:tc>
          <w:tcPr>
            <w:tcW w:type="dxa" w:w="20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3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Trays / Drip Trays</w:t>
            </w:r>
          </w:p>
        </w:tc>
        <w:tc>
          <w:tcPr>
            <w:tcW w:type="dxa" w:w="1600"/>
            <w:tcMar>
              <w:top w:type="dxa" w:w="100"/>
              <w:left w:type="dxa" w:w="120"/>
              <w:bottom w:type="dxa" w:w="100"/>
              <w:right w:type="dxa" w:w="120"/>
            </w:tcMar>
            <w:vAlign w:val="center"/>
          </w:tcPr>
          <w:p>
            <w:r>
              <w:rPr>
                <w:rFonts w:ascii="Calibri" w:cs="Calibri" w:eastAsia="Calibri" w:hAnsi="Calibri"/>
                <w:b w:val="false"/>
                <w:bCs w:val="false"/>
                <w:sz w:val="18"/>
                <w:szCs w:val="18"/>
              </w:rPr>
              <w:t xml:space="preserve">Multiple</w:t>
            </w:r>
          </w:p>
        </w:tc>
        <w:tc>
          <w:tcPr>
            <w:tcW w:type="dxa" w:w="220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Refuelling &amp; Product Transfer Points</w:t>
            </w:r>
          </w:p>
        </w:tc>
        <w:tc>
          <w:tcPr>
            <w:tcW w:type="dxa" w:w="200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3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Pallets</w:t>
            </w:r>
          </w:p>
        </w:tc>
        <w:tc>
          <w:tcPr>
            <w:tcW w:type="dxa" w:w="16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Multiple</w:t>
            </w:r>
          </w:p>
        </w:tc>
        <w:tc>
          <w:tcPr>
            <w:tcW w:type="dxa" w:w="22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Chemical &amp; IBC/Drum Storage Areas</w:t>
            </w:r>
          </w:p>
        </w:tc>
        <w:tc>
          <w:tcPr>
            <w:tcW w:type="dxa" w:w="200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bl>
    <w:p>
      <w:pPr>
        <w:pStyle w:val="Heading1"/>
        <w:pBdr>
          <w:bottom w:val="single" w:color="0F6B72" w:sz="8" w:space="4"/>
        </w:pBdr>
        <w:spacing w:after="160" w:before="360"/>
      </w:pPr>
      <w:r>
        <w:rPr>
          <w:rFonts w:ascii="Calibri" w:cs="Calibri" w:eastAsia="Calibri" w:hAnsi="Calibri"/>
          <w:b/>
          <w:bCs/>
          <w:color w:val="1F3864"/>
          <w:sz w:val="27"/>
          <w:szCs w:val="27"/>
        </w:rPr>
        <w:t xml:space="preserve">  Attachment B – Spill / Environmental Incident Report Form</w:t>
      </w:r>
    </w:p>
    <w:tbl>
      <w:tblPr>
        <w:tblW w:type="dxa" w:w="9100"/>
        <w:tblBorders>
          <w:top w:val="single" w:color="auto" w:sz="4"/>
          <w:left w:val="single" w:color="auto" w:sz="4"/>
          <w:bottom w:val="single" w:color="auto" w:sz="4"/>
          <w:right w:val="single" w:color="auto" w:sz="4"/>
          <w:insideH w:val="single" w:color="auto" w:sz="4"/>
          <w:insideV w:val="single" w:color="auto" w:sz="4"/>
        </w:tblBorders>
      </w:tblPr>
      <w:tblGrid>
        <w:gridCol w:w="2450"/>
        <w:gridCol w:w="6650"/>
      </w:tblGrid>
      <w:tr>
        <w:trPr>
          <w:tblHeader/>
        </w:trPr>
        <w:tc>
          <w:tcPr>
            <w:tcW w:type="dxa" w:w="245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Field</w:t>
            </w:r>
          </w:p>
        </w:tc>
        <w:tc>
          <w:tcPr>
            <w:tcW w:type="dxa" w:w="6650"/>
            <w:shd w:fill="1F3864" w:val="clear"/>
            <w:tcMar>
              <w:top w:type="dxa" w:w="100"/>
              <w:left w:type="dxa" w:w="120"/>
              <w:bottom w:type="dxa" w:w="100"/>
              <w:right w:type="dxa" w:w="120"/>
            </w:tcMar>
            <w:vAlign w:val="center"/>
          </w:tcPr>
          <w:p>
            <w:r>
              <w:rPr>
                <w:rFonts w:ascii="Calibri" w:cs="Calibri" w:eastAsia="Calibri" w:hAnsi="Calibri"/>
                <w:b/>
                <w:bCs/>
                <w:color w:val="FFFFFF"/>
                <w:sz w:val="19"/>
                <w:szCs w:val="19"/>
              </w:rPr>
              <w:t xml:space="preserve">Details</w:t>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Date / Time of Spill</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Location / Tank Site</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Reported By</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Spill Tier (1 / 2 / 3)</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Product / Material Spilled</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Estimated Volume</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Cause of Spill</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Immediate Actions Taken</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Persons / Environment Affected</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Internal Notifications Made (Name/Time)</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Client / Statutory Notifications Made (Name/Time)</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Waste Generated &amp; Disposal Reference No.</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Root Cause (if investigated)</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Corrective / Preventive Actions</w:t>
            </w:r>
          </w:p>
        </w:tc>
        <w:tc>
          <w:tcPr>
            <w:tcW w:type="dxa" w:w="6650"/>
            <w:shd w:fill="F5F7F7" w:val="clear"/>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r>
        <w:tc>
          <w:tcPr>
            <w:tcW w:type="dxa" w:w="2450"/>
            <w:tcMar>
              <w:top w:type="dxa" w:w="100"/>
              <w:left w:type="dxa" w:w="120"/>
              <w:bottom w:type="dxa" w:w="100"/>
              <w:right w:type="dxa" w:w="120"/>
            </w:tcMar>
            <w:vAlign w:val="center"/>
          </w:tcPr>
          <w:p>
            <w:r>
              <w:rPr>
                <w:rFonts w:ascii="Calibri" w:cs="Calibri" w:eastAsia="Calibri" w:hAnsi="Calibri"/>
                <w:b w:val="false"/>
                <w:bCs w:val="false"/>
                <w:sz w:val="18"/>
                <w:szCs w:val="18"/>
              </w:rPr>
              <w:t xml:space="preserve">Closed Out By / Date</w:t>
            </w:r>
          </w:p>
        </w:tc>
        <w:tc>
          <w:tcPr>
            <w:tcW w:type="dxa" w:w="6650"/>
            <w:tcMar>
              <w:top w:type="dxa" w:w="100"/>
              <w:left w:type="dxa" w:w="120"/>
              <w:bottom w:type="dxa" w:w="100"/>
              <w:right w:type="dxa" w:w="120"/>
            </w:tcMar>
            <w:vAlign w:val="center"/>
          </w:tcPr>
          <w:p>
            <w:r>
              <w:rPr>
                <w:rFonts w:ascii="Calibri" w:cs="Calibri" w:eastAsia="Calibri" w:hAnsi="Calibri"/>
                <w:b w:val="false"/>
                <w:bCs w:val="false"/>
                <w:sz w:val="18"/>
                <w:szCs w:val="18"/>
              </w:rPr>
              <w:t xml:space="preserve"/>
            </w:r>
          </w:p>
        </w:tc>
      </w:tr>
    </w:tbl>
    <w:p>
      <w:pPr>
        <w:pStyle w:val="Heading1"/>
        <w:pBdr>
          <w:bottom w:val="single" w:color="0F6B72" w:sz="8" w:space="4"/>
        </w:pBdr>
        <w:spacing w:after="160" w:before="360"/>
      </w:pPr>
      <w:r>
        <w:rPr>
          <w:rFonts w:ascii="Calibri" w:cs="Calibri" w:eastAsia="Calibri" w:hAnsi="Calibri"/>
          <w:b/>
          <w:bCs/>
          <w:color w:val="1F3864"/>
          <w:sz w:val="27"/>
          <w:szCs w:val="27"/>
        </w:rPr>
        <w:t xml:space="preserve">  Attachment C – Spill Notification Flow Chart</w:t>
      </w:r>
    </w:p>
    <w:p>
      <w:pPr>
        <w:spacing w:after="160" w:line="276"/>
      </w:pPr>
      <w:r>
        <w:rPr>
          <w:rFonts w:ascii="Calibri" w:cs="Calibri" w:eastAsia="Calibri" w:hAnsi="Calibri"/>
          <w:sz w:val="21"/>
          <w:szCs w:val="21"/>
        </w:rPr>
        <w:t xml:space="preserve">Person Discovering Spill  →  Site Supervisor  →  HES Officer (HESO)  →  Project Manager  →  (Tier 2/3) Renaissance / RAEC Representative &amp; SWDA Duty Manager, Lagos  →  (Tier 3) NUPRC / NESREA &amp; External Spill Response Resources.</w:t>
      </w:r>
    </w:p>
    <w:p>
      <w:pPr>
        <w:spacing w:after="160" w:line="276"/>
      </w:pPr>
      <w:r>
        <w:rPr>
          <w:rFonts w:ascii="Calibri" w:cs="Calibri" w:eastAsia="Calibri" w:hAnsi="Calibri"/>
          <w:sz w:val="21"/>
          <w:szCs w:val="21"/>
        </w:rPr>
        <w:t xml:space="preserve">SWDA shall keep the Client informed of ongoing spill response activities at every stage of this notification chain.</w:t>
      </w:r>
    </w:p>
    <w:sectPr>
      <w:headerReference w:type="default" r:id="rId9"/>
      <w:footerReference w:type="default" r:id="rId10"/>
      <w:pgSz w:w="12240" w:h="15840" w:orient="portrait"/>
      <w:pgMar w:top="1440" w:right="1350" w:bottom="144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6"/>
        <w:szCs w:val="16"/>
      </w:rPr>
      <w:t xml:space="preserve">Page </w:t>
    </w:r>
    <w:r>
      <w:rPr>
        <w:rFonts w:ascii="Calibri" w:cs="Calibri" w:eastAsia="Calibri" w:hAnsi="Calibri"/>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sz w:val="16"/>
        <w:szCs w:val="16"/>
      </w:rPr>
      <w:t xml:space="preserve">Page </w:t>
    </w:r>
    <w:r>
      <w:rPr>
        <w:rFonts w:ascii="Calibri" w:cs="Calibri" w:eastAsia="Calibri" w:hAnsi="Calibri"/>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5"/>
        <w:szCs w:val="15"/>
      </w:rPr>
      <w:t xml:space="preserve">SWDA – RAEC 18-Tank Cleaning Project | Environmental &amp; Spill Prevention Procedures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5"/>
        <w:szCs w:val="15"/>
      </w:rPr>
      <w:t xml:space="preserve">SWDA – RAEC 18-Tank Cleaning Project | Environmental &amp; Spill Prevention Procedures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2026-08-04T14:40:20.558Z</dcterms:created>
  <dcterms:modified xsi:type="dcterms:W3CDTF">2026-08-04T14:40:20.570Z</dcterms:modified>
</cp:coreProperties>
</file>

<file path=docProps/custom.xml><?xml version="1.0" encoding="utf-8"?>
<Properties xmlns="http://schemas.openxmlformats.org/officeDocument/2006/custom-properties" xmlns:vt="http://schemas.openxmlformats.org/officeDocument/2006/docPropsVTypes"/>
</file>