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3864"/>
          <w:sz w:val="30"/>
          <w:szCs w:val="30"/>
        </w:rPr>
        <w:t xml:space="preserve">SOUTH WEST DESIGN AFRICA LIMITED (SWDA)</w:t>
      </w:r>
    </w:p>
    <w:p>
      <w:pPr>
        <w:pBdr>
          <w:bottom w:val="single" w:color="B08D3E" w:sz="10"/>
        </w:pBdr>
        <w:spacing w:after="200"/>
        <w:jc w:val="center"/>
      </w:pPr>
      <w:r>
        <w:rPr>
          <w:b/>
          <w:bCs/>
          <w:color w:val="444444"/>
          <w:sz w:val="24"/>
          <w:szCs w:val="24"/>
        </w:rPr>
        <w:t xml:space="preserve">RENAISSANCE 18-TANK ATC / NME TANK CLEANING PROJECT</w:t>
      </w:r>
    </w:p>
    <w:p>
      <w:pPr>
        <w:spacing w:after="60" w:before="300"/>
        <w:jc w:val="center"/>
      </w:pPr>
      <w:r>
        <w:rPr>
          <w:b/>
          <w:bCs/>
          <w:color w:val="9C2B2B"/>
          <w:sz w:val="36"/>
          <w:szCs w:val="36"/>
        </w:rPr>
        <w:t xml:space="preserve">CONFINED SPACE ENTRY (CSE) PROCEDURE</w:t>
      </w:r>
    </w:p>
    <w:p>
      <w:pPr>
        <w:spacing w:after="400"/>
        <w:jc w:val="center"/>
      </w:pPr>
      <w:r>
        <w:rPr>
          <w:i/>
          <w:iCs/>
          <w:color w:val="444444"/>
          <w:sz w:val="22"/>
          <w:szCs w:val="22"/>
        </w:rPr>
        <w:t xml:space="preserve">Tank Roof &amp; Tank Interior Entry — Permit, Attendant, Entrant &amp; Rescue Requirements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c>
          <w:tcPr>
            <w:tcW w:type="dxa" w:w="3100"/>
            <w:shd w:fill="D9D9D9" w:val="clear"/>
            <w:tcMar>
              <w:top w:type="dxa" w:w="80"/>
              <w:left w:type="dxa" w:w="100"/>
              <w:bottom w:type="dxa" w:w="80"/>
              <w:right w:type="dxa" w:w="100"/>
            </w:tcMar>
            <w:vAlign w:val="center"/>
          </w:tcPr>
          <w:p>
            <w:pPr>
              <w:jc w:val="left"/>
            </w:pPr>
            <w:r>
              <w:rPr>
                <w:b/>
                <w:bCs/>
                <w:color w:val="000000"/>
                <w:sz w:val="19"/>
                <w:szCs w:val="19"/>
              </w:rPr>
              <w:t xml:space="preserve">Document Title</w:t>
            </w:r>
          </w:p>
        </w:tc>
        <w:tc>
          <w:tcPr>
            <w:tcW w:type="dxa" w:w="6250"/>
            <w:tcMar>
              <w:top w:type="dxa" w:w="80"/>
              <w:left w:type="dxa" w:w="100"/>
              <w:bottom w:type="dxa" w:w="80"/>
              <w:right w:type="dxa" w:w="100"/>
            </w:tcMar>
            <w:vAlign w:val="center"/>
          </w:tcPr>
          <w:p>
            <w:pPr>
              <w:jc w:val="left"/>
            </w:pPr>
            <w:r>
              <w:rPr>
                <w:b w:val="false"/>
                <w:bCs w:val="false"/>
                <w:color w:val="000000"/>
                <w:sz w:val="19"/>
                <w:szCs w:val="19"/>
              </w:rPr>
              <w:t xml:space="preserve">CONFINED SPACE ENTRY (CSE) PROCEDURE – ATC/NME TANK CLEANING OPERATIONS</w:t>
            </w:r>
          </w:p>
        </w:tc>
      </w:tr>
      <w:tr>
        <w:tc>
          <w:tcPr>
            <w:tcW w:type="dxa" w:w="3100"/>
            <w:shd w:fill="F2F2F2" w:val="clear"/>
            <w:tcMar>
              <w:top w:type="dxa" w:w="80"/>
              <w:left w:type="dxa" w:w="100"/>
              <w:bottom w:type="dxa" w:w="80"/>
              <w:right w:type="dxa" w:w="100"/>
            </w:tcMar>
            <w:vAlign w:val="center"/>
          </w:tcPr>
          <w:p>
            <w:pPr>
              <w:jc w:val="left"/>
            </w:pPr>
            <w:r>
              <w:rPr>
                <w:b/>
                <w:bCs/>
                <w:color w:val="000000"/>
                <w:sz w:val="19"/>
                <w:szCs w:val="19"/>
              </w:rPr>
              <w:t xml:space="preserve">Client</w:t>
            </w:r>
          </w:p>
        </w:tc>
        <w:tc>
          <w:tcPr>
            <w:tcW w:type="dxa" w:w="6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Renaissance Africa Energy Company (RAEC)</w:t>
            </w:r>
          </w:p>
        </w:tc>
      </w:tr>
      <w:tr>
        <w:tc>
          <w:tcPr>
            <w:tcW w:type="dxa" w:w="3100"/>
            <w:shd w:fill="D9D9D9" w:val="clear"/>
            <w:tcMar>
              <w:top w:type="dxa" w:w="80"/>
              <w:left w:type="dxa" w:w="100"/>
              <w:bottom w:type="dxa" w:w="80"/>
              <w:right w:type="dxa" w:w="100"/>
            </w:tcMar>
            <w:vAlign w:val="center"/>
          </w:tcPr>
          <w:p>
            <w:pPr>
              <w:jc w:val="left"/>
            </w:pPr>
            <w:r>
              <w:rPr>
                <w:b/>
                <w:bCs/>
                <w:color w:val="000000"/>
                <w:sz w:val="19"/>
                <w:szCs w:val="19"/>
              </w:rPr>
              <w:t xml:space="preserve">Contractor</w:t>
            </w:r>
          </w:p>
        </w:tc>
        <w:tc>
          <w:tcPr>
            <w:tcW w:type="dxa" w:w="6250"/>
            <w:tcMar>
              <w:top w:type="dxa" w:w="80"/>
              <w:left w:type="dxa" w:w="100"/>
              <w:bottom w:type="dxa" w:w="80"/>
              <w:right w:type="dxa" w:w="100"/>
            </w:tcMar>
            <w:vAlign w:val="center"/>
          </w:tcPr>
          <w:p>
            <w:pPr>
              <w:jc w:val="left"/>
            </w:pPr>
            <w:r>
              <w:rPr>
                <w:b w:val="false"/>
                <w:bCs w:val="false"/>
                <w:color w:val="000000"/>
                <w:sz w:val="19"/>
                <w:szCs w:val="19"/>
              </w:rPr>
              <w:t xml:space="preserve">South West Design Africa Limited (SWDA)</w:t>
            </w:r>
          </w:p>
        </w:tc>
      </w:tr>
      <w:tr>
        <w:tc>
          <w:tcPr>
            <w:tcW w:type="dxa" w:w="3100"/>
            <w:shd w:fill="F2F2F2" w:val="clear"/>
            <w:tcMar>
              <w:top w:type="dxa" w:w="80"/>
              <w:left w:type="dxa" w:w="100"/>
              <w:bottom w:type="dxa" w:w="80"/>
              <w:right w:type="dxa" w:w="100"/>
            </w:tcMar>
            <w:vAlign w:val="center"/>
          </w:tcPr>
          <w:p>
            <w:pPr>
              <w:jc w:val="left"/>
            </w:pPr>
            <w:r>
              <w:rPr>
                <w:b/>
                <w:bCs/>
                <w:color w:val="000000"/>
                <w:sz w:val="19"/>
                <w:szCs w:val="19"/>
              </w:rPr>
              <w:t xml:space="preserve">Contract / Tender No.</w:t>
            </w:r>
          </w:p>
        </w:tc>
        <w:tc>
          <w:tcPr>
            <w:tcW w:type="dxa" w:w="6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CW-68582 / CW-515913</w:t>
            </w:r>
          </w:p>
        </w:tc>
      </w:tr>
      <w:tr>
        <w:tc>
          <w:tcPr>
            <w:tcW w:type="dxa" w:w="3100"/>
            <w:shd w:fill="D9D9D9" w:val="clear"/>
            <w:tcMar>
              <w:top w:type="dxa" w:w="80"/>
              <w:left w:type="dxa" w:w="100"/>
              <w:bottom w:type="dxa" w:w="80"/>
              <w:right w:type="dxa" w:w="100"/>
            </w:tcMar>
            <w:vAlign w:val="center"/>
          </w:tcPr>
          <w:p>
            <w:pPr>
              <w:jc w:val="left"/>
            </w:pPr>
            <w:r>
              <w:rPr>
                <w:b/>
                <w:bCs/>
                <w:color w:val="000000"/>
                <w:sz w:val="19"/>
                <w:szCs w:val="19"/>
              </w:rPr>
              <w:t xml:space="preserve">Project</w:t>
            </w:r>
          </w:p>
        </w:tc>
        <w:tc>
          <w:tcPr>
            <w:tcW w:type="dxa" w:w="6250"/>
            <w:tcMar>
              <w:top w:type="dxa" w:w="80"/>
              <w:left w:type="dxa" w:w="100"/>
              <w:bottom w:type="dxa" w:w="80"/>
              <w:right w:type="dxa" w:w="100"/>
            </w:tcMar>
            <w:vAlign w:val="center"/>
          </w:tcPr>
          <w:p>
            <w:pPr>
              <w:jc w:val="left"/>
            </w:pPr>
            <w:r>
              <w:rPr>
                <w:b w:val="false"/>
                <w:bCs w:val="false"/>
                <w:color w:val="000000"/>
                <w:sz w:val="19"/>
                <w:szCs w:val="19"/>
              </w:rPr>
              <w:t xml:space="preserve">Provision of Zero-Man Entry &amp; Auto-Tank Cleaning, Sludge Removal, Treatment &amp; Waste Management Services at Selected Renaissance Facilities (18 Tanks / 4 Locations)</w:t>
            </w:r>
          </w:p>
        </w:tc>
      </w:tr>
      <w:tr>
        <w:tc>
          <w:tcPr>
            <w:tcW w:type="dxa" w:w="3100"/>
            <w:shd w:fill="F2F2F2" w:val="clear"/>
            <w:tcMar>
              <w:top w:type="dxa" w:w="80"/>
              <w:left w:type="dxa" w:w="100"/>
              <w:bottom w:type="dxa" w:w="80"/>
              <w:right w:type="dxa" w:w="100"/>
            </w:tcMar>
            <w:vAlign w:val="center"/>
          </w:tcPr>
          <w:p>
            <w:pPr>
              <w:jc w:val="left"/>
            </w:pPr>
            <w:r>
              <w:rPr>
                <w:b/>
                <w:bCs/>
                <w:color w:val="000000"/>
                <w:sz w:val="19"/>
                <w:szCs w:val="19"/>
              </w:rPr>
              <w:t xml:space="preserve">Locations</w:t>
            </w:r>
          </w:p>
        </w:tc>
        <w:tc>
          <w:tcPr>
            <w:tcW w:type="dxa" w:w="6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Bonny (8 Tanks), Forcados (8 Tanks), Gbaran (1 Tank), Soku (1 Tank)</w:t>
            </w:r>
          </w:p>
        </w:tc>
      </w:tr>
      <w:tr>
        <w:tc>
          <w:tcPr>
            <w:tcW w:type="dxa" w:w="3100"/>
            <w:shd w:fill="D9D9D9" w:val="clear"/>
            <w:tcMar>
              <w:top w:type="dxa" w:w="80"/>
              <w:left w:type="dxa" w:w="100"/>
              <w:bottom w:type="dxa" w:w="80"/>
              <w:right w:type="dxa" w:w="100"/>
            </w:tcMar>
            <w:vAlign w:val="center"/>
          </w:tcPr>
          <w:p>
            <w:pPr>
              <w:jc w:val="left"/>
            </w:pPr>
            <w:r>
              <w:rPr>
                <w:b/>
                <w:bCs/>
                <w:color w:val="000000"/>
                <w:sz w:val="19"/>
                <w:szCs w:val="19"/>
              </w:rPr>
              <w:t xml:space="preserve">Document Control No.</w:t>
            </w:r>
          </w:p>
        </w:tc>
        <w:tc>
          <w:tcPr>
            <w:tcW w:type="dxa" w:w="6250"/>
            <w:tcMar>
              <w:top w:type="dxa" w:w="80"/>
              <w:left w:type="dxa" w:w="100"/>
              <w:bottom w:type="dxa" w:w="80"/>
              <w:right w:type="dxa" w:w="100"/>
            </w:tcMar>
            <w:vAlign w:val="center"/>
          </w:tcPr>
          <w:p>
            <w:pPr>
              <w:jc w:val="left"/>
            </w:pPr>
            <w:r>
              <w:rPr>
                <w:b w:val="false"/>
                <w:bCs w:val="false"/>
                <w:color w:val="000000"/>
                <w:sz w:val="19"/>
                <w:szCs w:val="19"/>
              </w:rPr>
              <w:t xml:space="preserve">RENAISSANCE-CW-68582 / SWDA-2026-RAEC-001-CSE</w:t>
            </w:r>
          </w:p>
        </w:tc>
      </w:tr>
      <w:tr>
        <w:tc>
          <w:tcPr>
            <w:tcW w:type="dxa" w:w="3100"/>
            <w:shd w:fill="F2F2F2" w:val="clear"/>
            <w:tcMar>
              <w:top w:type="dxa" w:w="80"/>
              <w:left w:type="dxa" w:w="100"/>
              <w:bottom w:type="dxa" w:w="80"/>
              <w:right w:type="dxa" w:w="100"/>
            </w:tcMar>
            <w:vAlign w:val="center"/>
          </w:tcPr>
          <w:p>
            <w:pPr>
              <w:jc w:val="left"/>
            </w:pPr>
            <w:r>
              <w:rPr>
                <w:b/>
                <w:bCs/>
                <w:color w:val="000000"/>
                <w:sz w:val="19"/>
                <w:szCs w:val="19"/>
              </w:rPr>
              <w:t xml:space="preserve">Prepared By</w:t>
            </w:r>
          </w:p>
        </w:tc>
        <w:tc>
          <w:tcPr>
            <w:tcW w:type="dxa" w:w="6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Engr. Ned Jessup, P.E. – SWDA COO / ED &amp; Project Director</w:t>
            </w:r>
          </w:p>
        </w:tc>
      </w:tr>
      <w:tr>
        <w:tc>
          <w:tcPr>
            <w:tcW w:type="dxa" w:w="3100"/>
            <w:shd w:fill="D9D9D9" w:val="clear"/>
            <w:tcMar>
              <w:top w:type="dxa" w:w="80"/>
              <w:left w:type="dxa" w:w="100"/>
              <w:bottom w:type="dxa" w:w="80"/>
              <w:right w:type="dxa" w:w="100"/>
            </w:tcMar>
            <w:vAlign w:val="center"/>
          </w:tcPr>
          <w:p>
            <w:pPr>
              <w:jc w:val="left"/>
            </w:pPr>
            <w:r>
              <w:rPr>
                <w:b/>
                <w:bCs/>
                <w:color w:val="000000"/>
                <w:sz w:val="19"/>
                <w:szCs w:val="19"/>
              </w:rPr>
              <w:t xml:space="preserve">Related Documents</w:t>
            </w:r>
          </w:p>
        </w:tc>
        <w:tc>
          <w:tcPr>
            <w:tcW w:type="dxa" w:w="6250"/>
            <w:tcMar>
              <w:top w:type="dxa" w:w="80"/>
              <w:left w:type="dxa" w:w="100"/>
              <w:bottom w:type="dxa" w:w="80"/>
              <w:right w:type="dxa" w:w="100"/>
            </w:tcMar>
            <w:vAlign w:val="center"/>
          </w:tcPr>
          <w:p>
            <w:pPr>
              <w:jc w:val="left"/>
            </w:pPr>
            <w:r>
              <w:rPr>
                <w:b w:val="false"/>
                <w:bCs w:val="false"/>
                <w:color w:val="000000"/>
                <w:sz w:val="19"/>
                <w:szCs w:val="19"/>
              </w:rPr>
              <w:t xml:space="preserve">SWDA HSE Plan (HSEP); Project Execution &amp; Risk Management (PE/RM) Plan; Work Method Statement (WMS); Emergency Response Plan (ERP); JHSA (HSEP Attachment 1)</w:t>
            </w:r>
          </w:p>
        </w:tc>
      </w:tr>
    </w:tbl>
    <w:p>
      <w:pPr>
        <w:spacing w:after="100" w:before="260"/>
      </w:pPr>
      <w:r>
        <w:rPr>
          <w:b/>
          <w:bCs/>
          <w:color w:val="1F3864"/>
          <w:sz w:val="22"/>
          <w:szCs w:val="22"/>
        </w:rPr>
        <w:t xml:space="preserve">REVISION HISTORY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00"/>
        <w:gridCol w:w="1600"/>
        <w:gridCol w:w="3050"/>
        <w:gridCol w:w="1300"/>
        <w:gridCol w:w="1250"/>
        <w:gridCol w:w="1250"/>
      </w:tblGrid>
      <w:tr>
        <w:trPr>
          <w:tblHeader/>
        </w:trPr>
        <w:tc>
          <w:tcPr>
            <w:tcW w:type="dxa" w:w="900"/>
            <w:shd w:fill="1F3864" w:val="clear"/>
            <w:tcMar>
              <w:top w:type="dxa" w:w="80"/>
              <w:left w:type="dxa" w:w="100"/>
              <w:bottom w:type="dxa" w:w="80"/>
              <w:right w:type="dxa" w:w="100"/>
            </w:tcMar>
            <w:vAlign w:val="center"/>
          </w:tcPr>
          <w:p>
            <w:pPr>
              <w:jc w:val="center"/>
            </w:pPr>
            <w:r>
              <w:rPr>
                <w:b/>
                <w:bCs/>
                <w:color w:val="FFFFFF"/>
                <w:sz w:val="19"/>
                <w:szCs w:val="19"/>
              </w:rPr>
              <w:t xml:space="preserve">REV</w:t>
            </w:r>
          </w:p>
        </w:tc>
        <w:tc>
          <w:tcPr>
            <w:tcW w:type="dxa" w:w="1600"/>
            <w:shd w:fill="1F3864" w:val="clear"/>
            <w:tcMar>
              <w:top w:type="dxa" w:w="80"/>
              <w:left w:type="dxa" w:w="100"/>
              <w:bottom w:type="dxa" w:w="80"/>
              <w:right w:type="dxa" w:w="100"/>
            </w:tcMar>
            <w:vAlign w:val="center"/>
          </w:tcPr>
          <w:p>
            <w:pPr>
              <w:jc w:val="center"/>
            </w:pPr>
            <w:r>
              <w:rPr>
                <w:b/>
                <w:bCs/>
                <w:color w:val="FFFFFF"/>
                <w:sz w:val="19"/>
                <w:szCs w:val="19"/>
              </w:rPr>
              <w:t xml:space="preserve">DATE</w:t>
            </w:r>
          </w:p>
        </w:tc>
        <w:tc>
          <w:tcPr>
            <w:tcW w:type="dxa" w:w="3050"/>
            <w:shd w:fill="1F3864" w:val="clear"/>
            <w:tcMar>
              <w:top w:type="dxa" w:w="80"/>
              <w:left w:type="dxa" w:w="100"/>
              <w:bottom w:type="dxa" w:w="80"/>
              <w:right w:type="dxa" w:w="100"/>
            </w:tcMar>
            <w:vAlign w:val="center"/>
          </w:tcPr>
          <w:p>
            <w:pPr>
              <w:jc w:val="center"/>
            </w:pPr>
            <w:r>
              <w:rPr>
                <w:b/>
                <w:bCs/>
                <w:color w:val="FFFFFF"/>
                <w:sz w:val="19"/>
                <w:szCs w:val="19"/>
              </w:rPr>
              <w:t xml:space="preserve">ISSUE PURPOSE</w:t>
            </w:r>
          </w:p>
        </w:tc>
        <w:tc>
          <w:tcPr>
            <w:tcW w:type="dxa" w:w="1300"/>
            <w:shd w:fill="1F3864" w:val="clear"/>
            <w:tcMar>
              <w:top w:type="dxa" w:w="80"/>
              <w:left w:type="dxa" w:w="100"/>
              <w:bottom w:type="dxa" w:w="80"/>
              <w:right w:type="dxa" w:w="100"/>
            </w:tcMar>
            <w:vAlign w:val="center"/>
          </w:tcPr>
          <w:p>
            <w:pPr>
              <w:jc w:val="center"/>
            </w:pPr>
            <w:r>
              <w:rPr>
                <w:b/>
                <w:bCs/>
                <w:color w:val="FFFFFF"/>
                <w:sz w:val="19"/>
                <w:szCs w:val="19"/>
              </w:rPr>
              <w:t xml:space="preserve">ORIG</w:t>
            </w:r>
          </w:p>
        </w:tc>
        <w:tc>
          <w:tcPr>
            <w:tcW w:type="dxa" w:w="1250"/>
            <w:shd w:fill="1F3864" w:val="clear"/>
            <w:tcMar>
              <w:top w:type="dxa" w:w="80"/>
              <w:left w:type="dxa" w:w="100"/>
              <w:bottom w:type="dxa" w:w="80"/>
              <w:right w:type="dxa" w:w="100"/>
            </w:tcMar>
            <w:vAlign w:val="center"/>
          </w:tcPr>
          <w:p>
            <w:pPr>
              <w:jc w:val="center"/>
            </w:pPr>
            <w:r>
              <w:rPr>
                <w:b/>
                <w:bCs/>
                <w:color w:val="FFFFFF"/>
                <w:sz w:val="19"/>
                <w:szCs w:val="19"/>
              </w:rPr>
              <w:t xml:space="preserve">CHK</w:t>
            </w:r>
          </w:p>
        </w:tc>
        <w:tc>
          <w:tcPr>
            <w:tcW w:type="dxa" w:w="1250"/>
            <w:shd w:fill="1F3864" w:val="clear"/>
            <w:tcMar>
              <w:top w:type="dxa" w:w="80"/>
              <w:left w:type="dxa" w:w="100"/>
              <w:bottom w:type="dxa" w:w="80"/>
              <w:right w:type="dxa" w:w="100"/>
            </w:tcMar>
            <w:vAlign w:val="center"/>
          </w:tcPr>
          <w:p>
            <w:pPr>
              <w:jc w:val="center"/>
            </w:pPr>
            <w:r>
              <w:rPr>
                <w:b/>
                <w:bCs/>
                <w:color w:val="FFFFFF"/>
                <w:sz w:val="19"/>
                <w:szCs w:val="19"/>
              </w:rPr>
              <w:t xml:space="preserve">APPR</w:t>
            </w:r>
          </w:p>
        </w:tc>
      </w:tr>
      <w:tr>
        <w:tc>
          <w:tcPr>
            <w:tcW w:type="dxa" w:w="900"/>
            <w:tcMar>
              <w:top w:type="dxa" w:w="80"/>
              <w:left w:type="dxa" w:w="100"/>
              <w:bottom w:type="dxa" w:w="80"/>
              <w:right w:type="dxa" w:w="100"/>
            </w:tcMar>
            <w:vAlign w:val="center"/>
          </w:tcPr>
          <w:p>
            <w:pPr>
              <w:jc w:val="center"/>
            </w:pPr>
            <w:r>
              <w:rPr>
                <w:b w:val="false"/>
                <w:bCs w:val="false"/>
                <w:color w:val="000000"/>
                <w:sz w:val="19"/>
                <w:szCs w:val="19"/>
              </w:rPr>
              <w:t xml:space="preserve">00</w:t>
            </w:r>
          </w:p>
        </w:tc>
        <w:tc>
          <w:tcPr>
            <w:tcW w:type="dxa" w:w="1600"/>
            <w:tcMar>
              <w:top w:type="dxa" w:w="80"/>
              <w:left w:type="dxa" w:w="100"/>
              <w:bottom w:type="dxa" w:w="80"/>
              <w:right w:type="dxa" w:w="100"/>
            </w:tcMar>
            <w:vAlign w:val="center"/>
          </w:tcPr>
          <w:p>
            <w:pPr>
              <w:jc w:val="center"/>
            </w:pPr>
            <w:r>
              <w:rPr>
                <w:b w:val="false"/>
                <w:bCs w:val="false"/>
                <w:color w:val="000000"/>
                <w:sz w:val="19"/>
                <w:szCs w:val="19"/>
              </w:rPr>
              <w:t xml:space="preserve">19/07/2026</w:t>
            </w:r>
          </w:p>
        </w:tc>
        <w:tc>
          <w:tcPr>
            <w:tcW w:type="dxa" w:w="3050"/>
            <w:tcMar>
              <w:top w:type="dxa" w:w="80"/>
              <w:left w:type="dxa" w:w="100"/>
              <w:bottom w:type="dxa" w:w="80"/>
              <w:right w:type="dxa" w:w="100"/>
            </w:tcMar>
            <w:vAlign w:val="center"/>
          </w:tcPr>
          <w:p>
            <w:pPr>
              <w:jc w:val="left"/>
            </w:pPr>
            <w:r>
              <w:rPr>
                <w:b w:val="false"/>
                <w:bCs w:val="false"/>
                <w:color w:val="000000"/>
                <w:sz w:val="19"/>
                <w:szCs w:val="19"/>
              </w:rPr>
              <w:t xml:space="preserve">Issued for Pre-Mob &amp; Client Review</w:t>
            </w:r>
          </w:p>
        </w:tc>
        <w:tc>
          <w:tcPr>
            <w:tcW w:type="dxa" w:w="1300"/>
            <w:tcMar>
              <w:top w:type="dxa" w:w="80"/>
              <w:left w:type="dxa" w:w="100"/>
              <w:bottom w:type="dxa" w:w="80"/>
              <w:right w:type="dxa" w:w="100"/>
            </w:tcMar>
            <w:vAlign w:val="center"/>
          </w:tcPr>
          <w:p>
            <w:pPr>
              <w:jc w:val="center"/>
            </w:pPr>
            <w:r>
              <w:rPr>
                <w:b w:val="false"/>
                <w:bCs w:val="false"/>
                <w:color w:val="000000"/>
                <w:sz w:val="19"/>
                <w:szCs w:val="19"/>
              </w:rPr>
              <w:t xml:space="preserve">NEJ</w:t>
            </w:r>
          </w:p>
        </w:tc>
        <w:tc>
          <w:tcPr>
            <w:tcW w:type="dxa" w:w="1250"/>
            <w:tcMar>
              <w:top w:type="dxa" w:w="80"/>
              <w:left w:type="dxa" w:w="100"/>
              <w:bottom w:type="dxa" w:w="80"/>
              <w:right w:type="dxa" w:w="100"/>
            </w:tcMar>
            <w:vAlign w:val="center"/>
          </w:tcPr>
          <w:p>
            <w:pPr>
              <w:jc w:val="center"/>
            </w:pPr>
            <w:r>
              <w:rPr>
                <w:b w:val="false"/>
                <w:bCs w:val="false"/>
                <w:color w:val="000000"/>
                <w:sz w:val="19"/>
                <w:szCs w:val="19"/>
              </w:rPr>
              <w:t xml:space="preserve">WT/MI</w:t>
            </w:r>
          </w:p>
        </w:tc>
        <w:tc>
          <w:tcPr>
            <w:tcW w:type="dxa" w:w="1250"/>
            <w:tcMar>
              <w:top w:type="dxa" w:w="80"/>
              <w:left w:type="dxa" w:w="100"/>
              <w:bottom w:type="dxa" w:w="80"/>
              <w:right w:type="dxa" w:w="100"/>
            </w:tcMar>
            <w:vAlign w:val="center"/>
          </w:tcPr>
          <w:p>
            <w:pPr>
              <w:jc w:val="center"/>
            </w:pPr>
            <w:r>
              <w:rPr>
                <w:b w:val="false"/>
                <w:bCs w:val="false"/>
                <w:color w:val="000000"/>
                <w:sz w:val="19"/>
                <w:szCs w:val="19"/>
              </w:rPr>
              <w:t xml:space="preserve">GW</w:t>
            </w:r>
          </w:p>
        </w:tc>
      </w:tr>
      <w:tr>
        <w:tc>
          <w:tcPr>
            <w:tcW w:type="dxa" w:w="9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01</w:t>
            </w:r>
          </w:p>
        </w:tc>
        <w:tc>
          <w:tcPr>
            <w:tcW w:type="dxa" w:w="16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04/08/2026</w:t>
            </w:r>
          </w:p>
        </w:tc>
        <w:tc>
          <w:tcPr>
            <w:tcW w:type="dxa" w:w="30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Issued for Implementation</w:t>
            </w:r>
          </w:p>
        </w:tc>
        <w:tc>
          <w:tcPr>
            <w:tcW w:type="dxa" w:w="13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NEJ</w:t>
            </w:r>
          </w:p>
        </w:tc>
        <w:tc>
          <w:tcPr>
            <w:tcW w:type="dxa" w:w="125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WT/MI</w:t>
            </w:r>
          </w:p>
        </w:tc>
        <w:tc>
          <w:tcPr>
            <w:tcW w:type="dxa" w:w="125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GW</w:t>
            </w:r>
          </w:p>
        </w:tc>
      </w:tr>
    </w:tbl>
    <w:p>
      <w:pPr>
        <w:pBdr>
          <w:top w:val="single" w:color="9C2B2B" w:sz="4"/>
          <w:bottom w:val="single" w:color="9C2B2B" w:sz="4"/>
          <w:left w:val="single" w:color="9C2B2B" w:sz="4"/>
          <w:right w:val="single" w:color="9C2B2B" w:sz="4"/>
        </w:pBdr>
        <w:shd w:fill="FBEAEA" w:val="clear"/>
        <w:spacing w:after="200" w:before="120"/>
      </w:pPr>
      <w:r>
        <w:rPr>
          <w:b/>
          <w:bCs/>
          <w:color w:val="9C2B2B"/>
          <w:sz w:val="20"/>
          <w:szCs w:val="20"/>
        </w:rPr>
        <w:t xml:space="preserve">NO PERSON SHALL ENTER A PERMIT-REQUIRED CONFINED SPACE WITHOUT A VALID CSE PERMIT, A DEDICATED CSE ATTENDANT AT THE ENTRY POINT, AND VERIFIED ACCEPTABLE GAS READINGS. THE CSE ATTENDANT MUST NEVER ENTER THE SPACE TO EFFECT RESCUE.</w:t>
      </w:r>
    </w:p>
    <w:p>
      <w:r>
        <w:br w:type="page"/>
      </w:r>
    </w:p>
    <w:p>
      <w:pPr>
        <w:spacing w:after="200"/>
      </w:pPr>
      <w:r>
        <w:rPr>
          <w:b/>
          <w:bCs/>
          <w:color w:val="1F3864"/>
          <w:sz w:val="26"/>
          <w:szCs w:val="26"/>
        </w:rPr>
        <w:t xml:space="preserve">TABLE OF CONTENTS</w:t>
      </w:r>
    </w:p>
    <w:p>
      <w:pPr>
        <w:spacing w:after="70"/>
      </w:pPr>
      <w:r>
        <w:rPr>
          <w:sz w:val="21"/>
          <w:szCs w:val="21"/>
        </w:rPr>
        <w:t xml:space="preserve">1.0  Purpose &amp; Scope</w:t>
      </w:r>
    </w:p>
    <w:p>
      <w:pPr>
        <w:spacing w:after="70"/>
      </w:pPr>
      <w:r>
        <w:rPr>
          <w:sz w:val="21"/>
          <w:szCs w:val="21"/>
        </w:rPr>
        <w:t xml:space="preserve">2.0  Applicable Standards &amp; References</w:t>
      </w:r>
    </w:p>
    <w:p>
      <w:pPr>
        <w:spacing w:after="70"/>
      </w:pPr>
      <w:r>
        <w:rPr>
          <w:sz w:val="21"/>
          <w:szCs w:val="21"/>
        </w:rPr>
        <w:t xml:space="preserve">3.0  Definitions &amp; Abbreviations</w:t>
      </w:r>
    </w:p>
    <w:p>
      <w:pPr>
        <w:spacing w:after="70"/>
      </w:pPr>
      <w:r>
        <w:rPr>
          <w:sz w:val="21"/>
          <w:szCs w:val="21"/>
        </w:rPr>
        <w:t xml:space="preserve">4.0  Classification of Confined Spaces on this Project</w:t>
      </w:r>
    </w:p>
    <w:p>
      <w:pPr>
        <w:spacing w:after="70"/>
      </w:pPr>
      <w:r>
        <w:rPr>
          <w:sz w:val="21"/>
          <w:szCs w:val="21"/>
        </w:rPr>
        <w:t xml:space="preserve">5.0  Roles &amp; Responsibilities</w:t>
      </w:r>
    </w:p>
    <w:p>
      <w:pPr>
        <w:spacing w:after="70"/>
      </w:pPr>
      <w:r>
        <w:rPr>
          <w:sz w:val="21"/>
          <w:szCs w:val="21"/>
        </w:rPr>
        <w:t xml:space="preserve">6.0  Pre-Entry Requirements</w:t>
      </w:r>
    </w:p>
    <w:p>
      <w:pPr>
        <w:spacing w:after="70"/>
      </w:pPr>
      <w:r>
        <w:rPr>
          <w:sz w:val="21"/>
          <w:szCs w:val="21"/>
        </w:rPr>
        <w:t xml:space="preserve">7.0  Atmospheric Testing &amp; Acceptable Gas Levels</w:t>
      </w:r>
    </w:p>
    <w:p>
      <w:pPr>
        <w:spacing w:after="70"/>
      </w:pPr>
      <w:r>
        <w:rPr>
          <w:sz w:val="21"/>
          <w:szCs w:val="21"/>
        </w:rPr>
        <w:t xml:space="preserve">8.0  Confined Space Entry Permit (CSEP) Procedure</w:t>
      </w:r>
    </w:p>
    <w:p>
      <w:pPr>
        <w:spacing w:after="70"/>
      </w:pPr>
      <w:r>
        <w:rPr>
          <w:sz w:val="21"/>
          <w:szCs w:val="21"/>
        </w:rPr>
        <w:t xml:space="preserve">9.0  Duties of the Confined Space Attendant</w:t>
      </w:r>
    </w:p>
    <w:p>
      <w:pPr>
        <w:spacing w:after="70"/>
      </w:pPr>
      <w:r>
        <w:rPr>
          <w:sz w:val="21"/>
          <w:szCs w:val="21"/>
        </w:rPr>
        <w:t xml:space="preserve">10.0  Duties of the Confined Space Entrant</w:t>
      </w:r>
    </w:p>
    <w:p>
      <w:pPr>
        <w:spacing w:after="70"/>
      </w:pPr>
      <w:r>
        <w:rPr>
          <w:sz w:val="21"/>
          <w:szCs w:val="21"/>
        </w:rPr>
        <w:t xml:space="preserve">11.0  Entry Procedures</w:t>
      </w:r>
    </w:p>
    <w:p>
      <w:pPr>
        <w:spacing w:after="70"/>
      </w:pPr>
      <w:r>
        <w:rPr>
          <w:sz w:val="21"/>
          <w:szCs w:val="21"/>
        </w:rPr>
        <w:t xml:space="preserve">        11.1  Tank Roof Entry (Nitrogen Atmosphere / Cold-Tapping / Nozzle Work)</w:t>
      </w:r>
    </w:p>
    <w:p>
      <w:pPr>
        <w:spacing w:after="70"/>
      </w:pPr>
      <w:r>
        <w:rPr>
          <w:sz w:val="21"/>
          <w:szCs w:val="21"/>
        </w:rPr>
        <w:t xml:space="preserve">        11.2  Tank Interior Entry (Post-ATC Manned Mop-Up)</w:t>
      </w:r>
    </w:p>
    <w:p>
      <w:pPr>
        <w:spacing w:after="70"/>
      </w:pPr>
      <w:r>
        <w:rPr>
          <w:sz w:val="21"/>
          <w:szCs w:val="21"/>
        </w:rPr>
        <w:t xml:space="preserve">        11.3  Cribbing &amp; Additional Controls for Full Tank Entry Cleaning</w:t>
      </w:r>
    </w:p>
    <w:p>
      <w:pPr>
        <w:spacing w:after="70"/>
      </w:pPr>
      <w:r>
        <w:rPr>
          <w:sz w:val="21"/>
          <w:szCs w:val="21"/>
        </w:rPr>
        <w:t xml:space="preserve">12.0  Rescue Equipment &amp; Standby Arrangements</w:t>
      </w:r>
    </w:p>
    <w:p>
      <w:pPr>
        <w:spacing w:after="70"/>
      </w:pPr>
      <w:r>
        <w:rPr>
          <w:sz w:val="21"/>
          <w:szCs w:val="21"/>
        </w:rPr>
        <w:t xml:space="preserve">13.0  Emergency Evacuation from a Confined Space</w:t>
      </w:r>
    </w:p>
    <w:p>
      <w:pPr>
        <w:spacing w:after="70"/>
      </w:pPr>
      <w:r>
        <w:rPr>
          <w:sz w:val="21"/>
          <w:szCs w:val="21"/>
        </w:rPr>
        <w:t xml:space="preserve">14.0  Confined Space Entry Checklist</w:t>
      </w:r>
    </w:p>
    <w:p>
      <w:pPr>
        <w:spacing w:after="70"/>
      </w:pPr>
      <w:r>
        <w:rPr>
          <w:sz w:val="21"/>
          <w:szCs w:val="21"/>
        </w:rPr>
        <w:t xml:space="preserve">15.0  Entry Log &amp; Tally Board Requirements</w:t>
      </w:r>
    </w:p>
    <w:p>
      <w:pPr>
        <w:spacing w:after="70"/>
      </w:pPr>
      <w:r>
        <w:rPr>
          <w:sz w:val="21"/>
          <w:szCs w:val="21"/>
        </w:rPr>
        <w:t xml:space="preserve">16.0  Training &amp; Competency Requirements</w:t>
      </w:r>
    </w:p>
    <w:p>
      <w:pPr>
        <w:spacing w:after="70"/>
      </w:pPr>
      <w:r>
        <w:rPr>
          <w:sz w:val="21"/>
          <w:szCs w:val="21"/>
        </w:rPr>
        <w:t xml:space="preserve">17.0  Review &amp; Approval</w:t>
      </w:r>
    </w:p>
    <w:p>
      <w:r>
        <w:br w:type="page"/>
      </w:r>
    </w:p>
    <w:p>
      <w:pPr>
        <w:sectPr>
          <w:pgSz w:w="12240" w:h="15840" w:orient="portrait"/>
          <w:pgMar w:top="900" w:right="900" w:bottom="900" w:left="900" w:header="708" w:footer="708" w:gutter="0"/>
          <w:pgNumType/>
          <w:docGrid w:linePitch="360"/>
        </w:sectPr>
      </w:pPr>
    </w:p>
    <w:p>
      <w:pPr>
        <w:pStyle w:val="Heading1"/>
        <w:pBdr>
          <w:bottom w:val="single" w:color="1F3864" w:sz="6"/>
        </w:pBdr>
        <w:spacing w:after="160" w:before="360"/>
      </w:pPr>
      <w:r>
        <w:rPr>
          <w:b/>
          <w:bCs/>
          <w:color w:val="1F3864"/>
          <w:sz w:val="26"/>
          <w:szCs w:val="26"/>
        </w:rPr>
        <w:t xml:space="preserve">1.0  PURPOSE &amp; SCOPE</w:t>
      </w:r>
    </w:p>
    <w:p>
      <w:pPr>
        <w:spacing w:after="160" w:line="276"/>
        <w:jc w:val="both"/>
      </w:pPr>
      <w:r>
        <w:rPr>
          <w:sz w:val="21"/>
          <w:szCs w:val="21"/>
        </w:rPr>
        <w:t xml:space="preserve">This Confined Space Entry (CSE) Procedure defines the requirements for the safe identification, assessment, permitting, entry, monitoring and rescue arrangements for all Confined Spaces encountered during the Renaissance 18-Tank Zero-Man Entry (NME) &amp; Automatic Tank Cleaning (ATC) Project at Bonny, Forcados, Gbaran and Soku.</w:t>
      </w:r>
    </w:p>
    <w:p>
      <w:pPr>
        <w:spacing w:after="160" w:line="276"/>
        <w:jc w:val="both"/>
      </w:pPr>
      <w:r>
        <w:rPr>
          <w:sz w:val="21"/>
          <w:szCs w:val="21"/>
        </w:rPr>
        <w:t xml:space="preserve">This Procedure applies to every occasion on which SWDA personnel or sub-contractors access a Tank Roof under Nitrogen atmosphere, or enter a Tank interior for post-ATC manual mop-up, maintenance, or full Tank Entry cleaning. It shall be read together with the SWDA HSE Plan, Emergency Response Plan (ERP), Work Method Statement (WMS), and the Renaissance-issued Confined Space Entry Permit (CSEP).</w:t>
      </w:r>
    </w:p>
    <w:p>
      <w:pPr>
        <w:spacing w:after="160" w:line="276"/>
        <w:jc w:val="both"/>
      </w:pPr>
      <w:r>
        <w:rPr>
          <w:sz w:val="21"/>
          <w:szCs w:val="21"/>
        </w:rPr>
        <w:t xml:space="preserve">No entry into any space defined in Section 4.0 below shall occur without a valid, signed CSE Permit, a dedicated Confined Space Attendant at the point of entry, verified acceptable atmospheric readings, and standby rescue equipment and personnel in place.</w:t>
      </w:r>
    </w:p>
    <w:p>
      <w:pPr>
        <w:pStyle w:val="Heading1"/>
        <w:pBdr>
          <w:bottom w:val="single" w:color="1F3864" w:sz="6"/>
        </w:pBdr>
        <w:spacing w:after="160" w:before="360"/>
      </w:pPr>
      <w:r>
        <w:rPr>
          <w:b/>
          <w:bCs/>
          <w:color w:val="1F3864"/>
          <w:sz w:val="26"/>
          <w:szCs w:val="26"/>
        </w:rPr>
        <w:t xml:space="preserve">2.0  APPLICABLE STANDARDS &amp; REFERENCES</w:t>
      </w:r>
    </w:p>
    <w:p>
      <w:pPr>
        <w:pStyle w:val="ListParagraph"/>
        <w:numPr>
          <w:ilvl w:val="0"/>
          <w:numId w:val="2"/>
        </w:numPr>
        <w:spacing w:after="80"/>
      </w:pPr>
      <w:r>
        <w:rPr>
          <w:sz w:val="21"/>
          <w:szCs w:val="21"/>
        </w:rPr>
        <w:t xml:space="preserve">API 2015 / API 2016 – Safe entry, cleaning and procedures for petroleum storage tanks</w:t>
      </w:r>
    </w:p>
    <w:p>
      <w:pPr>
        <w:pStyle w:val="ListParagraph"/>
        <w:numPr>
          <w:ilvl w:val="0"/>
          <w:numId w:val="2"/>
        </w:numPr>
        <w:spacing w:after="80"/>
      </w:pPr>
      <w:r>
        <w:rPr>
          <w:sz w:val="21"/>
          <w:szCs w:val="21"/>
        </w:rPr>
        <w:t xml:space="preserve">NFPA 326 – Safeguarding of tanks and containers for entry, cleaning and repair</w:t>
      </w:r>
    </w:p>
    <w:p>
      <w:pPr>
        <w:pStyle w:val="ListParagraph"/>
        <w:numPr>
          <w:ilvl w:val="0"/>
          <w:numId w:val="2"/>
        </w:numPr>
        <w:spacing w:after="80"/>
      </w:pPr>
      <w:r>
        <w:rPr>
          <w:sz w:val="21"/>
          <w:szCs w:val="21"/>
        </w:rPr>
        <w:t xml:space="preserve">99/92/EC (ATEX 137) &amp; 94/9/EC (ATEX 95) – ATEX Workplace &amp; Equipment Directives</w:t>
      </w:r>
    </w:p>
    <w:p>
      <w:pPr>
        <w:pStyle w:val="ListParagraph"/>
        <w:numPr>
          <w:ilvl w:val="0"/>
          <w:numId w:val="2"/>
        </w:numPr>
        <w:spacing w:after="80"/>
      </w:pPr>
      <w:r>
        <w:rPr>
          <w:sz w:val="21"/>
          <w:szCs w:val="21"/>
        </w:rPr>
        <w:t xml:space="preserve">NUPRC OGISP Guidelines</w:t>
      </w:r>
    </w:p>
    <w:p>
      <w:pPr>
        <w:pStyle w:val="ListParagraph"/>
        <w:numPr>
          <w:ilvl w:val="0"/>
          <w:numId w:val="2"/>
        </w:numPr>
        <w:spacing w:after="80"/>
      </w:pPr>
      <w:r>
        <w:rPr>
          <w:sz w:val="21"/>
          <w:szCs w:val="21"/>
        </w:rPr>
        <w:t xml:space="preserve">SWDA HSE Plan (HSEP) – Confined Space hazard identification &amp; JHSA (Attachment 1)</w:t>
      </w:r>
    </w:p>
    <w:p>
      <w:pPr>
        <w:pStyle w:val="ListParagraph"/>
        <w:numPr>
          <w:ilvl w:val="0"/>
          <w:numId w:val="2"/>
        </w:numPr>
        <w:spacing w:after="80"/>
      </w:pPr>
      <w:r>
        <w:rPr>
          <w:sz w:val="21"/>
          <w:szCs w:val="21"/>
        </w:rPr>
        <w:t xml:space="preserve">SWDA Project Execution &amp; Risk Management (PE/RM) Plan – Sections 11.16, 11.18, 11.22–11.26</w:t>
      </w:r>
    </w:p>
    <w:p>
      <w:pPr>
        <w:pStyle w:val="ListParagraph"/>
        <w:numPr>
          <w:ilvl w:val="0"/>
          <w:numId w:val="2"/>
        </w:numPr>
        <w:spacing w:after="80"/>
      </w:pPr>
      <w:r>
        <w:rPr>
          <w:sz w:val="21"/>
          <w:szCs w:val="21"/>
        </w:rPr>
        <w:t xml:space="preserve">Renaissance Tank Entry Safety Plan (Site-Specific)</w:t>
      </w:r>
    </w:p>
    <w:p>
      <w:pPr>
        <w:pStyle w:val="Heading1"/>
        <w:pBdr>
          <w:bottom w:val="single" w:color="1F3864" w:sz="6"/>
        </w:pBdr>
        <w:spacing w:after="160" w:before="360"/>
      </w:pPr>
      <w:r>
        <w:rPr>
          <w:b/>
          <w:bCs/>
          <w:color w:val="1F3864"/>
          <w:sz w:val="26"/>
          <w:szCs w:val="26"/>
        </w:rPr>
        <w:t xml:space="preserve">3.0  DEFINITIONS &amp; ABBREVIATIONS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800"/>
        <w:gridCol w:w="7550"/>
      </w:tblGrid>
      <w:tr>
        <w:trPr>
          <w:tblHeader/>
        </w:trPr>
        <w:tc>
          <w:tcPr>
            <w:tcW w:type="dxa" w:w="1800"/>
            <w:shd w:fill="1F3864" w:val="clear"/>
            <w:tcMar>
              <w:top w:type="dxa" w:w="80"/>
              <w:left w:type="dxa" w:w="100"/>
              <w:bottom w:type="dxa" w:w="80"/>
              <w:right w:type="dxa" w:w="100"/>
            </w:tcMar>
            <w:vAlign w:val="center"/>
          </w:tcPr>
          <w:p>
            <w:pPr>
              <w:jc w:val="left"/>
            </w:pPr>
            <w:r>
              <w:rPr>
                <w:b/>
                <w:bCs/>
                <w:color w:val="FFFFFF"/>
                <w:sz w:val="19"/>
                <w:szCs w:val="19"/>
              </w:rPr>
              <w:t xml:space="preserve">TERM</w:t>
            </w:r>
          </w:p>
        </w:tc>
        <w:tc>
          <w:tcPr>
            <w:tcW w:type="dxa" w:w="7550"/>
            <w:shd w:fill="1F3864" w:val="clear"/>
            <w:tcMar>
              <w:top w:type="dxa" w:w="80"/>
              <w:left w:type="dxa" w:w="100"/>
              <w:bottom w:type="dxa" w:w="80"/>
              <w:right w:type="dxa" w:w="100"/>
            </w:tcMar>
            <w:vAlign w:val="center"/>
          </w:tcPr>
          <w:p>
            <w:pPr>
              <w:jc w:val="left"/>
            </w:pPr>
            <w:r>
              <w:rPr>
                <w:b/>
                <w:bCs/>
                <w:color w:val="FFFFFF"/>
                <w:sz w:val="19"/>
                <w:szCs w:val="19"/>
              </w:rPr>
              <w:t xml:space="preserve">DEFINITION</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CSE</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Confined Space Entry</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CSEP</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Confined Space Entry Permit</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PTW</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Permit to Work</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SSO</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Site Safety Officer (Renaissance)</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LEL</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Lower Explosive Limit</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MSDS</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Material Safety Data Sheet</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ENS</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Emergency Notification System</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ELSA</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Emergency Life Support Apparatus</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SCBA</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Self-Contained Breathing Apparatus</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EBA / ALBA</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Escape Breathing Air (Set)</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JSA</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Job Safety Analysis</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ADR</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Agreement on Dangerous Goods by Road (also refers to the ADR Combination Unit)</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IBC</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Intermediate Bulk Container</w:t>
            </w:r>
          </w:p>
        </w:tc>
      </w:tr>
    </w:tbl>
    <w:p>
      <w:r>
        <w:br w:type="page"/>
      </w:r>
    </w:p>
    <w:p>
      <w:pPr>
        <w:pStyle w:val="Heading1"/>
        <w:pBdr>
          <w:bottom w:val="single" w:color="1F3864" w:sz="6"/>
        </w:pBdr>
        <w:spacing w:after="160" w:before="360"/>
      </w:pPr>
      <w:r>
        <w:rPr>
          <w:b/>
          <w:bCs/>
          <w:color w:val="1F3864"/>
          <w:sz w:val="26"/>
          <w:szCs w:val="26"/>
        </w:rPr>
        <w:t xml:space="preserve">4.0  CLASSIFICATION OF CONFINED SPACES ON THIS PROJECT</w:t>
      </w:r>
    </w:p>
    <w:p>
      <w:pPr>
        <w:spacing w:after="160" w:line="276"/>
        <w:jc w:val="both"/>
      </w:pPr>
      <w:r>
        <w:rPr>
          <w:sz w:val="21"/>
          <w:szCs w:val="21"/>
        </w:rPr>
        <w:t xml:space="preserve">The following locations are classified as Permit-Required Confined Spaces for the purposes of this Project, and shall not be accessed other than in accordance with this Procedure: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600"/>
        <w:gridCol w:w="5750"/>
      </w:tblGrid>
      <w:tr>
        <w:trPr>
          <w:tblHeader/>
        </w:trPr>
        <w:tc>
          <w:tcPr>
            <w:tcW w:type="dxa" w:w="3600"/>
            <w:shd w:fill="1F3864" w:val="clear"/>
            <w:tcMar>
              <w:top w:type="dxa" w:w="80"/>
              <w:left w:type="dxa" w:w="100"/>
              <w:bottom w:type="dxa" w:w="80"/>
              <w:right w:type="dxa" w:w="100"/>
            </w:tcMar>
            <w:vAlign w:val="center"/>
          </w:tcPr>
          <w:p>
            <w:pPr>
              <w:jc w:val="left"/>
            </w:pPr>
            <w:r>
              <w:rPr>
                <w:b/>
                <w:bCs/>
                <w:color w:val="FFFFFF"/>
                <w:sz w:val="19"/>
                <w:szCs w:val="19"/>
              </w:rPr>
              <w:t xml:space="preserve">CONFINED SPACE</w:t>
            </w:r>
          </w:p>
        </w:tc>
        <w:tc>
          <w:tcPr>
            <w:tcW w:type="dxa" w:w="5750"/>
            <w:shd w:fill="1F3864" w:val="clear"/>
            <w:tcMar>
              <w:top w:type="dxa" w:w="80"/>
              <w:left w:type="dxa" w:w="100"/>
              <w:bottom w:type="dxa" w:w="80"/>
              <w:right w:type="dxa" w:w="100"/>
            </w:tcMar>
            <w:vAlign w:val="center"/>
          </w:tcPr>
          <w:p>
            <w:pPr>
              <w:jc w:val="left"/>
            </w:pPr>
            <w:r>
              <w:rPr>
                <w:b/>
                <w:bCs/>
                <w:color w:val="FFFFFF"/>
                <w:sz w:val="19"/>
                <w:szCs w:val="19"/>
              </w:rPr>
              <w:t xml:space="preserve">CLASSIFICATION / CONTROLLING REQUIREMENT</w:t>
            </w:r>
          </w:p>
        </w:tc>
      </w:tr>
      <w:tr>
        <w:tc>
          <w:tcPr>
            <w:tcW w:type="dxa" w:w="3600"/>
            <w:tcMar>
              <w:top w:type="dxa" w:w="80"/>
              <w:left w:type="dxa" w:w="100"/>
              <w:bottom w:type="dxa" w:w="80"/>
              <w:right w:type="dxa" w:w="100"/>
            </w:tcMar>
            <w:vAlign w:val="center"/>
          </w:tcPr>
          <w:p>
            <w:pPr>
              <w:jc w:val="left"/>
            </w:pPr>
            <w:r>
              <w:rPr>
                <w:b/>
                <w:bCs/>
                <w:color w:val="000000"/>
                <w:sz w:val="19"/>
                <w:szCs w:val="19"/>
              </w:rPr>
              <w:t xml:space="preserve">Tank Roof (during Nitrogen Purging / Cold-Tapping / Nozzle Work)</w:t>
            </w:r>
          </w:p>
        </w:tc>
        <w:tc>
          <w:tcPr>
            <w:tcW w:type="dxa" w:w="5750"/>
            <w:tcMar>
              <w:top w:type="dxa" w:w="80"/>
              <w:left w:type="dxa" w:w="100"/>
              <w:bottom w:type="dxa" w:w="80"/>
              <w:right w:type="dxa" w:w="100"/>
            </w:tcMar>
            <w:vAlign w:val="center"/>
          </w:tcPr>
          <w:p>
            <w:pPr>
              <w:jc w:val="left"/>
            </w:pPr>
            <w:r>
              <w:rPr>
                <w:b w:val="false"/>
                <w:bCs w:val="false"/>
                <w:color w:val="000000"/>
                <w:sz w:val="19"/>
                <w:szCs w:val="19"/>
              </w:rPr>
              <w:t xml:space="preserve">Classified as a Confined Space whenever Nitrogen is filling the Tank. All entries carried out under CSE Permit, with EBA Set + 4 permanent Gas Detection Units and CSE Attendant present.</w:t>
            </w:r>
          </w:p>
        </w:tc>
      </w:tr>
      <w:tr>
        <w:tc>
          <w:tcPr>
            <w:tcW w:type="dxa" w:w="3600"/>
            <w:shd w:fill="F2F2F2" w:val="clear"/>
            <w:tcMar>
              <w:top w:type="dxa" w:w="80"/>
              <w:left w:type="dxa" w:w="100"/>
              <w:bottom w:type="dxa" w:w="80"/>
              <w:right w:type="dxa" w:w="100"/>
            </w:tcMar>
            <w:vAlign w:val="center"/>
          </w:tcPr>
          <w:p>
            <w:pPr>
              <w:jc w:val="left"/>
            </w:pPr>
            <w:r>
              <w:rPr>
                <w:b/>
                <w:bCs/>
                <w:color w:val="000000"/>
                <w:sz w:val="19"/>
                <w:szCs w:val="19"/>
              </w:rPr>
              <w:t xml:space="preserve">Tank Interior (Post-ATC Manned Mop-Up)</w:t>
            </w:r>
          </w:p>
        </w:tc>
        <w:tc>
          <w:tcPr>
            <w:tcW w:type="dxa" w:w="57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Classified as a Confined Space for all entries. Entry only after forced ventilation, gas testing (LEL &lt; 5% to commence, stop work if LEL exceeds 10%), and CSE Permit issuance.</w:t>
            </w:r>
          </w:p>
        </w:tc>
      </w:tr>
      <w:tr>
        <w:tc>
          <w:tcPr>
            <w:tcW w:type="dxa" w:w="3600"/>
            <w:tcMar>
              <w:top w:type="dxa" w:w="80"/>
              <w:left w:type="dxa" w:w="100"/>
              <w:bottom w:type="dxa" w:w="80"/>
              <w:right w:type="dxa" w:w="100"/>
            </w:tcMar>
            <w:vAlign w:val="center"/>
          </w:tcPr>
          <w:p>
            <w:pPr>
              <w:jc w:val="left"/>
            </w:pPr>
            <w:r>
              <w:rPr>
                <w:b/>
                <w:bCs/>
                <w:color w:val="000000"/>
                <w:sz w:val="19"/>
                <w:szCs w:val="19"/>
              </w:rPr>
              <w:t xml:space="preserve">Tank Roof (Non-SCBA Task / Daily Roof Inspection)</w:t>
            </w:r>
          </w:p>
        </w:tc>
        <w:tc>
          <w:tcPr>
            <w:tcW w:type="dxa" w:w="5750"/>
            <w:tcMar>
              <w:top w:type="dxa" w:w="80"/>
              <w:left w:type="dxa" w:w="100"/>
              <w:bottom w:type="dxa" w:w="80"/>
              <w:right w:type="dxa" w:w="100"/>
            </w:tcMar>
            <w:vAlign w:val="center"/>
          </w:tcPr>
          <w:p>
            <w:pPr>
              <w:jc w:val="left"/>
            </w:pPr>
            <w:r>
              <w:rPr>
                <w:b w:val="false"/>
                <w:bCs w:val="false"/>
                <w:color w:val="000000"/>
                <w:sz w:val="19"/>
                <w:szCs w:val="19"/>
              </w:rPr>
              <w:t xml:space="preserve">Still requires CSE Permit; verify O₂ sensors, abnormal nitrogen usage, and packing condition prior to entry even where SCBA is not mandated for the specific task.</w:t>
            </w:r>
          </w:p>
        </w:tc>
      </w:tr>
    </w:tbl>
    <w:p>
      <w:pPr>
        <w:pStyle w:val="Heading1"/>
        <w:pBdr>
          <w:bottom w:val="single" w:color="1F3864" w:sz="6"/>
        </w:pBdr>
        <w:spacing w:after="160" w:before="360"/>
      </w:pPr>
      <w:r>
        <w:rPr>
          <w:b/>
          <w:bCs/>
          <w:color w:val="1F3864"/>
          <w:sz w:val="26"/>
          <w:szCs w:val="26"/>
        </w:rPr>
        <w:t xml:space="preserve">5.0  ROLES &amp; RESPONSIBILITIES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200"/>
        <w:gridCol w:w="6150"/>
      </w:tblGrid>
      <w:tr>
        <w:trPr>
          <w:tblHeader/>
        </w:trPr>
        <w:tc>
          <w:tcPr>
            <w:tcW w:type="dxa" w:w="3200"/>
            <w:shd w:fill="1F3864" w:val="clear"/>
            <w:tcMar>
              <w:top w:type="dxa" w:w="80"/>
              <w:left w:type="dxa" w:w="100"/>
              <w:bottom w:type="dxa" w:w="80"/>
              <w:right w:type="dxa" w:w="100"/>
            </w:tcMar>
            <w:vAlign w:val="center"/>
          </w:tcPr>
          <w:p>
            <w:pPr>
              <w:jc w:val="left"/>
            </w:pPr>
            <w:r>
              <w:rPr>
                <w:b/>
                <w:bCs/>
                <w:color w:val="FFFFFF"/>
                <w:sz w:val="19"/>
                <w:szCs w:val="19"/>
              </w:rPr>
              <w:t xml:space="preserve">ROLE</w:t>
            </w:r>
          </w:p>
        </w:tc>
        <w:tc>
          <w:tcPr>
            <w:tcW w:type="dxa" w:w="6150"/>
            <w:shd w:fill="1F3864" w:val="clear"/>
            <w:tcMar>
              <w:top w:type="dxa" w:w="80"/>
              <w:left w:type="dxa" w:w="100"/>
              <w:bottom w:type="dxa" w:w="80"/>
              <w:right w:type="dxa" w:w="100"/>
            </w:tcMar>
            <w:vAlign w:val="center"/>
          </w:tcPr>
          <w:p>
            <w:pPr>
              <w:jc w:val="left"/>
            </w:pPr>
            <w:r>
              <w:rPr>
                <w:b/>
                <w:bCs/>
                <w:color w:val="FFFFFF"/>
                <w:sz w:val="19"/>
                <w:szCs w:val="19"/>
              </w:rPr>
              <w:t xml:space="preserve">RESPONSIBILITY</w:t>
            </w:r>
          </w:p>
        </w:tc>
      </w:tr>
      <w:tr>
        <w:tc>
          <w:tcPr>
            <w:tcW w:type="dxa" w:w="3200"/>
            <w:tcMar>
              <w:top w:type="dxa" w:w="80"/>
              <w:left w:type="dxa" w:w="100"/>
              <w:bottom w:type="dxa" w:w="80"/>
              <w:right w:type="dxa" w:w="100"/>
            </w:tcMar>
            <w:vAlign w:val="center"/>
          </w:tcPr>
          <w:p>
            <w:pPr>
              <w:jc w:val="left"/>
            </w:pPr>
            <w:r>
              <w:rPr>
                <w:b/>
                <w:bCs/>
                <w:color w:val="000000"/>
                <w:sz w:val="19"/>
                <w:szCs w:val="19"/>
              </w:rPr>
              <w:t xml:space="preserve">Renaissance Process Area Lead</w:t>
            </w:r>
          </w:p>
        </w:tc>
        <w:tc>
          <w:tcPr>
            <w:tcW w:type="dxa" w:w="6150"/>
            <w:tcMar>
              <w:top w:type="dxa" w:w="80"/>
              <w:left w:type="dxa" w:w="100"/>
              <w:bottom w:type="dxa" w:w="80"/>
              <w:right w:type="dxa" w:w="100"/>
            </w:tcMar>
            <w:vAlign w:val="center"/>
          </w:tcPr>
          <w:p>
            <w:pPr>
              <w:jc w:val="left"/>
            </w:pPr>
            <w:r>
              <w:rPr>
                <w:b w:val="false"/>
                <w:bCs w:val="false"/>
                <w:color w:val="000000"/>
                <w:sz w:val="19"/>
                <w:szCs w:val="19"/>
              </w:rPr>
              <w:t xml:space="preserve">Before the first day of Manned Mop-Up Entry and before CSE Permit issuance, ensures a job-site visit has been conducted with the Area Leader, Maintenance/Contractor Supervision and the HSE Rep; ensures equipment is prepared for the work</w:t>
            </w:r>
          </w:p>
        </w:tc>
      </w:tr>
      <w:tr>
        <w:tc>
          <w:tcPr>
            <w:tcW w:type="dxa" w:w="3200"/>
            <w:shd w:fill="F2F2F2" w:val="clear"/>
            <w:tcMar>
              <w:top w:type="dxa" w:w="80"/>
              <w:left w:type="dxa" w:w="100"/>
              <w:bottom w:type="dxa" w:w="80"/>
              <w:right w:type="dxa" w:w="100"/>
            </w:tcMar>
            <w:vAlign w:val="center"/>
          </w:tcPr>
          <w:p>
            <w:pPr>
              <w:jc w:val="left"/>
            </w:pPr>
            <w:r>
              <w:rPr>
                <w:b/>
                <w:bCs/>
                <w:color w:val="000000"/>
                <w:sz w:val="19"/>
                <w:szCs w:val="19"/>
              </w:rPr>
              <w:t xml:space="preserve">Confined Space (CSE) Attendant — Renaissance-Trained</w:t>
            </w:r>
          </w:p>
        </w:tc>
        <w:tc>
          <w:tcPr>
            <w:tcW w:type="dxa" w:w="61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Stationed at the entry point at all times personnel are in the confined space; coordinates between Entrants and the ‘Outside World’ (Renaissance Control Room, Site Supervisor, Plant Operators); never enters the space</w:t>
            </w:r>
          </w:p>
        </w:tc>
      </w:tr>
      <w:tr>
        <w:tc>
          <w:tcPr>
            <w:tcW w:type="dxa" w:w="3200"/>
            <w:tcMar>
              <w:top w:type="dxa" w:w="80"/>
              <w:left w:type="dxa" w:w="100"/>
              <w:bottom w:type="dxa" w:w="80"/>
              <w:right w:type="dxa" w:w="100"/>
            </w:tcMar>
            <w:vAlign w:val="center"/>
          </w:tcPr>
          <w:p>
            <w:pPr>
              <w:jc w:val="left"/>
            </w:pPr>
            <w:r>
              <w:rPr>
                <w:b/>
                <w:bCs/>
                <w:color w:val="000000"/>
                <w:sz w:val="19"/>
                <w:szCs w:val="19"/>
              </w:rPr>
              <w:t xml:space="preserve">Confined Space Entrant</w:t>
            </w:r>
          </w:p>
        </w:tc>
        <w:tc>
          <w:tcPr>
            <w:tcW w:type="dxa" w:w="6150"/>
            <w:tcMar>
              <w:top w:type="dxa" w:w="80"/>
              <w:left w:type="dxa" w:w="100"/>
              <w:bottom w:type="dxa" w:w="80"/>
              <w:right w:type="dxa" w:w="100"/>
            </w:tcMar>
            <w:vAlign w:val="center"/>
          </w:tcPr>
          <w:p>
            <w:pPr>
              <w:jc w:val="left"/>
            </w:pPr>
            <w:r>
              <w:rPr>
                <w:b w:val="false"/>
                <w:bCs w:val="false"/>
                <w:color w:val="000000"/>
                <w:sz w:val="19"/>
                <w:szCs w:val="19"/>
              </w:rPr>
              <w:t xml:space="preserve">Logs in/out on the Entry Log; follows Supervisor instructions and CSE Permit conditions; maintains communication with the Attendant; wears required PPE; knows the hazards and evacuates on order</w:t>
            </w:r>
          </w:p>
        </w:tc>
      </w:tr>
      <w:tr>
        <w:tc>
          <w:tcPr>
            <w:tcW w:type="dxa" w:w="3200"/>
            <w:shd w:fill="F2F2F2" w:val="clear"/>
            <w:tcMar>
              <w:top w:type="dxa" w:w="80"/>
              <w:left w:type="dxa" w:w="100"/>
              <w:bottom w:type="dxa" w:w="80"/>
              <w:right w:type="dxa" w:w="100"/>
            </w:tcMar>
            <w:vAlign w:val="center"/>
          </w:tcPr>
          <w:p>
            <w:pPr>
              <w:jc w:val="left"/>
            </w:pPr>
            <w:r>
              <w:rPr>
                <w:b/>
                <w:bCs/>
                <w:color w:val="000000"/>
                <w:sz w:val="19"/>
                <w:szCs w:val="19"/>
              </w:rPr>
              <w:t xml:space="preserve">Plant Man</w:t>
            </w:r>
          </w:p>
        </w:tc>
        <w:tc>
          <w:tcPr>
            <w:tcW w:type="dxa" w:w="61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Dedicated role monitoring Breathing Air (BA) supply and Plant status; remains in contact with the CSE Attendant and Site Supervisor at all times</w:t>
            </w:r>
          </w:p>
        </w:tc>
      </w:tr>
      <w:tr>
        <w:tc>
          <w:tcPr>
            <w:tcW w:type="dxa" w:w="3200"/>
            <w:tcMar>
              <w:top w:type="dxa" w:w="80"/>
              <w:left w:type="dxa" w:w="100"/>
              <w:bottom w:type="dxa" w:w="80"/>
              <w:right w:type="dxa" w:w="100"/>
            </w:tcMar>
            <w:vAlign w:val="center"/>
          </w:tcPr>
          <w:p>
            <w:pPr>
              <w:jc w:val="left"/>
            </w:pPr>
            <w:r>
              <w:rPr>
                <w:b/>
                <w:bCs/>
                <w:color w:val="000000"/>
                <w:sz w:val="19"/>
                <w:szCs w:val="19"/>
              </w:rPr>
              <w:t xml:space="preserve">Site Supervisor</w:t>
            </w:r>
          </w:p>
        </w:tc>
        <w:tc>
          <w:tcPr>
            <w:tcW w:type="dxa" w:w="6150"/>
            <w:tcMar>
              <w:top w:type="dxa" w:w="80"/>
              <w:left w:type="dxa" w:w="100"/>
              <w:bottom w:type="dxa" w:w="80"/>
              <w:right w:type="dxa" w:w="100"/>
            </w:tcMar>
            <w:vAlign w:val="center"/>
          </w:tcPr>
          <w:p>
            <w:pPr>
              <w:jc w:val="left"/>
            </w:pPr>
            <w:r>
              <w:rPr>
                <w:b w:val="false"/>
                <w:bCs w:val="false"/>
                <w:color w:val="000000"/>
                <w:sz w:val="19"/>
                <w:szCs w:val="19"/>
              </w:rPr>
              <w:t xml:space="preserve">Completes the Confined Space Register in collaboration with Renaissance; coordinates Rescue Team nomination; authorizes Stop Work</w:t>
            </w:r>
          </w:p>
        </w:tc>
      </w:tr>
      <w:tr>
        <w:tc>
          <w:tcPr>
            <w:tcW w:type="dxa" w:w="3200"/>
            <w:shd w:fill="F2F2F2" w:val="clear"/>
            <w:tcMar>
              <w:top w:type="dxa" w:w="80"/>
              <w:left w:type="dxa" w:w="100"/>
              <w:bottom w:type="dxa" w:w="80"/>
              <w:right w:type="dxa" w:w="100"/>
            </w:tcMar>
            <w:vAlign w:val="center"/>
          </w:tcPr>
          <w:p>
            <w:pPr>
              <w:jc w:val="left"/>
            </w:pPr>
            <w:r>
              <w:rPr>
                <w:b/>
                <w:bCs/>
                <w:color w:val="000000"/>
                <w:sz w:val="19"/>
                <w:szCs w:val="19"/>
              </w:rPr>
              <w:t xml:space="preserve">Confined Space Rescue Team</w:t>
            </w:r>
          </w:p>
        </w:tc>
        <w:tc>
          <w:tcPr>
            <w:tcW w:type="dxa" w:w="61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Names nominated jointly by Renaissance &amp; SWDA and added to the CSE Permit; trained and certified in Confined Space rescue; equipped and on standby throughout entry</w:t>
            </w:r>
          </w:p>
        </w:tc>
      </w:tr>
      <w:tr>
        <w:tc>
          <w:tcPr>
            <w:tcW w:type="dxa" w:w="3200"/>
            <w:tcMar>
              <w:top w:type="dxa" w:w="80"/>
              <w:left w:type="dxa" w:w="100"/>
              <w:bottom w:type="dxa" w:w="80"/>
              <w:right w:type="dxa" w:w="100"/>
            </w:tcMar>
            <w:vAlign w:val="center"/>
          </w:tcPr>
          <w:p>
            <w:pPr>
              <w:jc w:val="left"/>
            </w:pPr>
            <w:r>
              <w:rPr>
                <w:b/>
                <w:bCs/>
                <w:color w:val="000000"/>
                <w:sz w:val="19"/>
                <w:szCs w:val="19"/>
              </w:rPr>
              <w:t xml:space="preserve">Renaissance HSE Representative</w:t>
            </w:r>
          </w:p>
        </w:tc>
        <w:tc>
          <w:tcPr>
            <w:tcW w:type="dxa" w:w="6150"/>
            <w:tcMar>
              <w:top w:type="dxa" w:w="80"/>
              <w:left w:type="dxa" w:w="100"/>
              <w:bottom w:type="dxa" w:w="80"/>
              <w:right w:type="dxa" w:w="100"/>
            </w:tcMar>
            <w:vAlign w:val="center"/>
          </w:tcPr>
          <w:p>
            <w:pPr>
              <w:jc w:val="left"/>
            </w:pPr>
            <w:r>
              <w:rPr>
                <w:b w:val="false"/>
                <w:bCs w:val="false"/>
                <w:color w:val="000000"/>
                <w:sz w:val="19"/>
                <w:szCs w:val="19"/>
              </w:rPr>
              <w:t xml:space="preserve">Participates in the pre-entry job-site visit; verifies safety checks are complete before CSE Permit issuance</w:t>
            </w:r>
          </w:p>
        </w:tc>
      </w:tr>
    </w:tbl>
    <w:p>
      <w:pPr>
        <w:pStyle w:val="Heading1"/>
        <w:pBdr>
          <w:bottom w:val="single" w:color="1F3864" w:sz="6"/>
        </w:pBdr>
        <w:spacing w:after="160" w:before="360"/>
      </w:pPr>
      <w:r>
        <w:rPr>
          <w:b/>
          <w:bCs/>
          <w:color w:val="1F3864"/>
          <w:sz w:val="26"/>
          <w:szCs w:val="26"/>
        </w:rPr>
        <w:t xml:space="preserve">6.0  PRE-ENTRY REQUIREMENTS</w:t>
      </w:r>
    </w:p>
    <w:p>
      <w:pPr>
        <w:spacing w:after="160" w:line="276"/>
        <w:jc w:val="both"/>
      </w:pPr>
      <w:r>
        <w:rPr>
          <w:sz w:val="21"/>
          <w:szCs w:val="21"/>
        </w:rPr>
        <w:t xml:space="preserve">Before the first day that Manned Mop-Up Entry (or any other confined space entry) is required, and before issuing the CSE Permit, the following shall be completed:</w:t>
      </w:r>
    </w:p>
    <w:p>
      <w:pPr>
        <w:pStyle w:val="ListParagraph"/>
        <w:numPr>
          <w:ilvl w:val="0"/>
          <w:numId w:val="3"/>
        </w:numPr>
        <w:spacing w:after="100"/>
      </w:pPr>
      <w:r>
        <w:rPr>
          <w:sz w:val="21"/>
          <w:szCs w:val="21"/>
        </w:rPr>
        <w:t xml:space="preserve">The Renaissance Process Area Lead ensures a job-site visit has been conducted by the Area Leader (or nominated deputy), the Maintenance or Contractor Supervision (or nominated deputy), and the HSE Representative.</w:t>
      </w:r>
    </w:p>
    <w:p>
      <w:pPr>
        <w:pStyle w:val="ListParagraph"/>
        <w:numPr>
          <w:ilvl w:val="0"/>
          <w:numId w:val="3"/>
        </w:numPr>
        <w:spacing w:after="100"/>
      </w:pPr>
      <w:r>
        <w:rPr>
          <w:sz w:val="21"/>
          <w:szCs w:val="21"/>
        </w:rPr>
        <w:t xml:space="preserve">The Process Area Lead confirms the equipment is prepared for the work.</w:t>
      </w:r>
    </w:p>
    <w:p>
      <w:pPr>
        <w:pStyle w:val="ListParagraph"/>
        <w:numPr>
          <w:ilvl w:val="0"/>
          <w:numId w:val="3"/>
        </w:numPr>
        <w:spacing w:after="100"/>
      </w:pPr>
      <w:r>
        <w:rPr>
          <w:sz w:val="21"/>
          <w:szCs w:val="21"/>
        </w:rPr>
        <w:t xml:space="preserve">A Job Safety Analysis (JSA) is completed each morning by the SWDA Site Team, following collection of a signed General Work Permit (PTW).</w:t>
      </w:r>
    </w:p>
    <w:p>
      <w:pPr>
        <w:pStyle w:val="ListParagraph"/>
        <w:numPr>
          <w:ilvl w:val="0"/>
          <w:numId w:val="3"/>
        </w:numPr>
        <w:spacing w:after="100"/>
      </w:pPr>
      <w:r>
        <w:rPr>
          <w:sz w:val="21"/>
          <w:szCs w:val="21"/>
        </w:rPr>
        <w:t xml:space="preserve">The Tank is confirmed nominally empty, and Renaissance opens the Tank manway (with awareness of possible asbestos gaskets — safe removal is available under a separate WMS/RA if required).</w:t>
      </w:r>
    </w:p>
    <w:p>
      <w:pPr>
        <w:pStyle w:val="ListParagraph"/>
        <w:numPr>
          <w:ilvl w:val="0"/>
          <w:numId w:val="3"/>
        </w:numPr>
        <w:spacing w:after="100"/>
      </w:pPr>
      <w:r>
        <w:rPr>
          <w:sz w:val="21"/>
          <w:szCs w:val="21"/>
        </w:rPr>
        <w:t xml:space="preserve">Renaissance carries out all necessary earthing and bonding of hosing and equipment before any work commences.</w:t>
      </w:r>
    </w:p>
    <w:p>
      <w:pPr>
        <w:pStyle w:val="ListParagraph"/>
        <w:numPr>
          <w:ilvl w:val="0"/>
          <w:numId w:val="3"/>
        </w:numPr>
        <w:spacing w:after="100"/>
      </w:pPr>
      <w:r>
        <w:rPr>
          <w:sz w:val="21"/>
          <w:szCs w:val="21"/>
        </w:rPr>
        <w:t xml:space="preserve">Renaissance carries out the initial gas test on the Tank; the CSE Permit is issued only once all safety checks are complete.</w:t>
      </w:r>
    </w:p>
    <w:p>
      <w:pPr>
        <w:pStyle w:val="Heading1"/>
        <w:pBdr>
          <w:bottom w:val="single" w:color="1F3864" w:sz="6"/>
        </w:pBdr>
        <w:spacing w:after="160" w:before="360"/>
      </w:pPr>
      <w:r>
        <w:rPr>
          <w:b/>
          <w:bCs/>
          <w:color w:val="1F3864"/>
          <w:sz w:val="26"/>
          <w:szCs w:val="26"/>
        </w:rPr>
        <w:t xml:space="preserve">7.0  ATMOSPHERIC TESTING &amp; ACCEPTABLE GAS LEVELS</w:t>
      </w:r>
    </w:p>
    <w:p>
      <w:pPr>
        <w:spacing w:after="160" w:line="276"/>
        <w:jc w:val="both"/>
      </w:pPr>
      <w:r>
        <w:rPr>
          <w:sz w:val="21"/>
          <w:szCs w:val="21"/>
        </w:rPr>
        <w:t xml:space="preserve">Continuous or periodic gas testing is mandatory before and throughout every confined space entry. The table below sets out the acceptable ranges and the required action if a reading falls outside them: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000"/>
        <w:gridCol w:w="1900"/>
        <w:gridCol w:w="1900"/>
        <w:gridCol w:w="3550"/>
      </w:tblGrid>
      <w:tr>
        <w:trPr>
          <w:tblHeader/>
        </w:trPr>
        <w:tc>
          <w:tcPr>
            <w:tcW w:type="dxa" w:w="2000"/>
            <w:shd w:fill="1F3864" w:val="clear"/>
            <w:tcMar>
              <w:top w:type="dxa" w:w="80"/>
              <w:left w:type="dxa" w:w="100"/>
              <w:bottom w:type="dxa" w:w="80"/>
              <w:right w:type="dxa" w:w="100"/>
            </w:tcMar>
            <w:vAlign w:val="center"/>
          </w:tcPr>
          <w:p>
            <w:pPr>
              <w:jc w:val="left"/>
            </w:pPr>
            <w:r>
              <w:rPr>
                <w:b/>
                <w:bCs/>
                <w:color w:val="FFFFFF"/>
                <w:sz w:val="19"/>
                <w:szCs w:val="19"/>
              </w:rPr>
              <w:t xml:space="preserve">GAS</w:t>
            </w:r>
          </w:p>
        </w:tc>
        <w:tc>
          <w:tcPr>
            <w:tcW w:type="dxa" w:w="1900"/>
            <w:shd w:fill="1F3864" w:val="clear"/>
            <w:tcMar>
              <w:top w:type="dxa" w:w="80"/>
              <w:left w:type="dxa" w:w="100"/>
              <w:bottom w:type="dxa" w:w="80"/>
              <w:right w:type="dxa" w:w="100"/>
            </w:tcMar>
            <w:vAlign w:val="center"/>
          </w:tcPr>
          <w:p>
            <w:pPr>
              <w:jc w:val="left"/>
            </w:pPr>
            <w:r>
              <w:rPr>
                <w:b/>
                <w:bCs/>
                <w:color w:val="FFFFFF"/>
                <w:sz w:val="19"/>
                <w:szCs w:val="19"/>
              </w:rPr>
              <w:t xml:space="preserve">ACCEPTABLE RANGE</w:t>
            </w:r>
          </w:p>
        </w:tc>
        <w:tc>
          <w:tcPr>
            <w:tcW w:type="dxa" w:w="1900"/>
            <w:shd w:fill="1F3864" w:val="clear"/>
            <w:tcMar>
              <w:top w:type="dxa" w:w="80"/>
              <w:left w:type="dxa" w:w="100"/>
              <w:bottom w:type="dxa" w:w="80"/>
              <w:right w:type="dxa" w:w="100"/>
            </w:tcMar>
            <w:vAlign w:val="center"/>
          </w:tcPr>
          <w:p>
            <w:pPr>
              <w:jc w:val="left"/>
            </w:pPr>
            <w:r>
              <w:rPr>
                <w:b/>
                <w:bCs/>
                <w:color w:val="FFFFFF"/>
                <w:sz w:val="19"/>
                <w:szCs w:val="19"/>
              </w:rPr>
              <w:t xml:space="preserve">PRE-ENTRY TARGET</w:t>
            </w:r>
          </w:p>
        </w:tc>
        <w:tc>
          <w:tcPr>
            <w:tcW w:type="dxa" w:w="3550"/>
            <w:shd w:fill="1F3864" w:val="clear"/>
            <w:tcMar>
              <w:top w:type="dxa" w:w="80"/>
              <w:left w:type="dxa" w:w="100"/>
              <w:bottom w:type="dxa" w:w="80"/>
              <w:right w:type="dxa" w:w="100"/>
            </w:tcMar>
            <w:vAlign w:val="center"/>
          </w:tcPr>
          <w:p>
            <w:pPr>
              <w:jc w:val="left"/>
            </w:pPr>
            <w:r>
              <w:rPr>
                <w:b/>
                <w:bCs/>
                <w:color w:val="FFFFFF"/>
                <w:sz w:val="19"/>
                <w:szCs w:val="19"/>
              </w:rPr>
              <w:t xml:space="preserve">ACTION IF EXCEEDED</w:t>
            </w:r>
          </w:p>
        </w:tc>
      </w:tr>
      <w:tr>
        <w:tc>
          <w:tcPr>
            <w:tcW w:type="dxa" w:w="2000"/>
            <w:tcMar>
              <w:top w:type="dxa" w:w="80"/>
              <w:left w:type="dxa" w:w="100"/>
              <w:bottom w:type="dxa" w:w="80"/>
              <w:right w:type="dxa" w:w="100"/>
            </w:tcMar>
            <w:vAlign w:val="center"/>
          </w:tcPr>
          <w:p>
            <w:pPr>
              <w:jc w:val="left"/>
            </w:pPr>
            <w:r>
              <w:rPr>
                <w:b/>
                <w:bCs/>
                <w:color w:val="000000"/>
                <w:sz w:val="19"/>
                <w:szCs w:val="19"/>
              </w:rPr>
              <w:t xml:space="preserve">Oxygen (O₂)</w:t>
            </w:r>
          </w:p>
        </w:tc>
        <w:tc>
          <w:tcPr>
            <w:tcW w:type="dxa" w:w="1900"/>
            <w:tcMar>
              <w:top w:type="dxa" w:w="80"/>
              <w:left w:type="dxa" w:w="100"/>
              <w:bottom w:type="dxa" w:w="80"/>
              <w:right w:type="dxa" w:w="100"/>
            </w:tcMar>
            <w:vAlign w:val="center"/>
          </w:tcPr>
          <w:p>
            <w:pPr>
              <w:jc w:val="left"/>
            </w:pPr>
            <w:r>
              <w:rPr>
                <w:b w:val="false"/>
                <w:bCs w:val="false"/>
                <w:color w:val="000000"/>
                <w:sz w:val="19"/>
                <w:szCs w:val="19"/>
              </w:rPr>
              <w:t xml:space="preserve">19.5% – 23.5%</w:t>
            </w:r>
          </w:p>
        </w:tc>
        <w:tc>
          <w:tcPr>
            <w:tcW w:type="dxa" w:w="1900"/>
            <w:tcMar>
              <w:top w:type="dxa" w:w="80"/>
              <w:left w:type="dxa" w:w="100"/>
              <w:bottom w:type="dxa" w:w="80"/>
              <w:right w:type="dxa" w:w="100"/>
            </w:tcMar>
            <w:vAlign w:val="center"/>
          </w:tcPr>
          <w:p>
            <w:pPr>
              <w:jc w:val="left"/>
            </w:pPr>
            <w:r>
              <w:rPr>
                <w:b w:val="false"/>
                <w:bCs w:val="false"/>
                <w:color w:val="000000"/>
                <w:sz w:val="19"/>
                <w:szCs w:val="19"/>
              </w:rPr>
              <w:t xml:space="preserve">20.8% (± 0.2%)</w:t>
            </w:r>
          </w:p>
        </w:tc>
        <w:tc>
          <w:tcPr>
            <w:tcW w:type="dxa" w:w="3550"/>
            <w:tcMar>
              <w:top w:type="dxa" w:w="80"/>
              <w:left w:type="dxa" w:w="100"/>
              <w:bottom w:type="dxa" w:w="80"/>
              <w:right w:type="dxa" w:w="100"/>
            </w:tcMar>
            <w:vAlign w:val="center"/>
          </w:tcPr>
          <w:p>
            <w:pPr>
              <w:jc w:val="left"/>
            </w:pPr>
            <w:r>
              <w:rPr>
                <w:b w:val="false"/>
                <w:bCs w:val="false"/>
                <w:color w:val="000000"/>
                <w:sz w:val="19"/>
                <w:szCs w:val="19"/>
              </w:rPr>
              <w:t xml:space="preserve">Below 19.5% or above 23.5% — Stop; do not enter</w:t>
            </w:r>
          </w:p>
        </w:tc>
      </w:tr>
      <w:tr>
        <w:tc>
          <w:tcPr>
            <w:tcW w:type="dxa" w:w="2000"/>
            <w:shd w:fill="F2F2F2" w:val="clear"/>
            <w:tcMar>
              <w:top w:type="dxa" w:w="80"/>
              <w:left w:type="dxa" w:w="100"/>
              <w:bottom w:type="dxa" w:w="80"/>
              <w:right w:type="dxa" w:w="100"/>
            </w:tcMar>
            <w:vAlign w:val="center"/>
          </w:tcPr>
          <w:p>
            <w:pPr>
              <w:jc w:val="left"/>
            </w:pPr>
            <w:r>
              <w:rPr>
                <w:b/>
                <w:bCs/>
                <w:color w:val="000000"/>
                <w:sz w:val="19"/>
                <w:szCs w:val="19"/>
              </w:rPr>
              <w:t xml:space="preserve">Lower Explosive Limit (LEL)</w:t>
            </w:r>
          </w:p>
        </w:tc>
        <w:tc>
          <w:tcPr>
            <w:tcW w:type="dxa" w:w="190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0% – 10%</w:t>
            </w:r>
          </w:p>
        </w:tc>
        <w:tc>
          <w:tcPr>
            <w:tcW w:type="dxa" w:w="190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0%</w:t>
            </w:r>
          </w:p>
        </w:tc>
        <w:tc>
          <w:tcPr>
            <w:tcW w:type="dxa" w:w="3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 5%: proceed with caution / continue forced ventilation; ≥ 10%: STOP WORK, notify Renaissance SSO/Supervisor immediately, evacuate and vent</w:t>
            </w:r>
          </w:p>
        </w:tc>
      </w:tr>
      <w:tr>
        <w:tc>
          <w:tcPr>
            <w:tcW w:type="dxa" w:w="2000"/>
            <w:tcMar>
              <w:top w:type="dxa" w:w="80"/>
              <w:left w:type="dxa" w:w="100"/>
              <w:bottom w:type="dxa" w:w="80"/>
              <w:right w:type="dxa" w:w="100"/>
            </w:tcMar>
            <w:vAlign w:val="center"/>
          </w:tcPr>
          <w:p>
            <w:pPr>
              <w:jc w:val="left"/>
            </w:pPr>
            <w:r>
              <w:rPr>
                <w:b/>
                <w:bCs/>
                <w:color w:val="000000"/>
                <w:sz w:val="19"/>
                <w:szCs w:val="19"/>
              </w:rPr>
              <w:t xml:space="preserve">Hydrogen Sulfide (H₂S)</w:t>
            </w:r>
          </w:p>
        </w:tc>
        <w:tc>
          <w:tcPr>
            <w:tcW w:type="dxa" w:w="1900"/>
            <w:tcMar>
              <w:top w:type="dxa" w:w="80"/>
              <w:left w:type="dxa" w:w="100"/>
              <w:bottom w:type="dxa" w:w="80"/>
              <w:right w:type="dxa" w:w="100"/>
            </w:tcMar>
            <w:vAlign w:val="center"/>
          </w:tcPr>
          <w:p>
            <w:pPr>
              <w:jc w:val="left"/>
            </w:pPr>
            <w:r>
              <w:rPr>
                <w:b w:val="false"/>
                <w:bCs w:val="false"/>
                <w:color w:val="000000"/>
                <w:sz w:val="19"/>
                <w:szCs w:val="19"/>
              </w:rPr>
              <w:t xml:space="preserve">0 – 5 ppm</w:t>
            </w:r>
          </w:p>
        </w:tc>
        <w:tc>
          <w:tcPr>
            <w:tcW w:type="dxa" w:w="1900"/>
            <w:tcMar>
              <w:top w:type="dxa" w:w="80"/>
              <w:left w:type="dxa" w:w="100"/>
              <w:bottom w:type="dxa" w:w="80"/>
              <w:right w:type="dxa" w:w="100"/>
            </w:tcMar>
            <w:vAlign w:val="center"/>
          </w:tcPr>
          <w:p>
            <w:pPr>
              <w:jc w:val="left"/>
            </w:pPr>
            <w:r>
              <w:rPr>
                <w:b w:val="false"/>
                <w:bCs w:val="false"/>
                <w:color w:val="000000"/>
                <w:sz w:val="19"/>
                <w:szCs w:val="19"/>
              </w:rPr>
              <w:t xml:space="preserve">0 ppm</w:t>
            </w:r>
          </w:p>
        </w:tc>
        <w:tc>
          <w:tcPr>
            <w:tcW w:type="dxa" w:w="3550"/>
            <w:tcMar>
              <w:top w:type="dxa" w:w="80"/>
              <w:left w:type="dxa" w:w="100"/>
              <w:bottom w:type="dxa" w:w="80"/>
              <w:right w:type="dxa" w:w="100"/>
            </w:tcMar>
            <w:vAlign w:val="center"/>
          </w:tcPr>
          <w:p>
            <w:pPr>
              <w:jc w:val="left"/>
            </w:pPr>
            <w:r>
              <w:rPr>
                <w:b w:val="false"/>
                <w:bCs w:val="false"/>
                <w:color w:val="000000"/>
                <w:sz w:val="19"/>
                <w:szCs w:val="19"/>
              </w:rPr>
              <w:t xml:space="preserve">Any reading above 0 requires investigation; evacuate on alarm</w:t>
            </w:r>
          </w:p>
        </w:tc>
      </w:tr>
      <w:tr>
        <w:tc>
          <w:tcPr>
            <w:tcW w:type="dxa" w:w="2000"/>
            <w:shd w:fill="F2F2F2" w:val="clear"/>
            <w:tcMar>
              <w:top w:type="dxa" w:w="80"/>
              <w:left w:type="dxa" w:w="100"/>
              <w:bottom w:type="dxa" w:w="80"/>
              <w:right w:type="dxa" w:w="100"/>
            </w:tcMar>
            <w:vAlign w:val="center"/>
          </w:tcPr>
          <w:p>
            <w:pPr>
              <w:jc w:val="left"/>
            </w:pPr>
            <w:r>
              <w:rPr>
                <w:b/>
                <w:bCs/>
                <w:color w:val="000000"/>
                <w:sz w:val="19"/>
                <w:szCs w:val="19"/>
              </w:rPr>
              <w:t xml:space="preserve">Carbon Dioxide (CO₂)</w:t>
            </w:r>
          </w:p>
        </w:tc>
        <w:tc>
          <w:tcPr>
            <w:tcW w:type="dxa" w:w="190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0%</w:t>
            </w:r>
          </w:p>
        </w:tc>
        <w:tc>
          <w:tcPr>
            <w:tcW w:type="dxa" w:w="190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0%</w:t>
            </w:r>
          </w:p>
        </w:tc>
        <w:tc>
          <w:tcPr>
            <w:tcW w:type="dxa" w:w="3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Any sustained reading requires investigation before entry</w:t>
            </w:r>
          </w:p>
        </w:tc>
      </w:tr>
      <w:tr>
        <w:tc>
          <w:tcPr>
            <w:tcW w:type="dxa" w:w="2000"/>
            <w:tcMar>
              <w:top w:type="dxa" w:w="80"/>
              <w:left w:type="dxa" w:w="100"/>
              <w:bottom w:type="dxa" w:w="80"/>
              <w:right w:type="dxa" w:w="100"/>
            </w:tcMar>
            <w:vAlign w:val="center"/>
          </w:tcPr>
          <w:p>
            <w:pPr>
              <w:jc w:val="left"/>
            </w:pPr>
            <w:r>
              <w:rPr>
                <w:b/>
                <w:bCs/>
                <w:color w:val="000000"/>
                <w:sz w:val="19"/>
                <w:szCs w:val="19"/>
              </w:rPr>
              <w:t xml:space="preserve">Benzene</w:t>
            </w:r>
          </w:p>
        </w:tc>
        <w:tc>
          <w:tcPr>
            <w:tcW w:type="dxa" w:w="1900"/>
            <w:tcMar>
              <w:top w:type="dxa" w:w="80"/>
              <w:left w:type="dxa" w:w="100"/>
              <w:bottom w:type="dxa" w:w="80"/>
              <w:right w:type="dxa" w:w="100"/>
            </w:tcMar>
            <w:vAlign w:val="center"/>
          </w:tcPr>
          <w:p>
            <w:pPr>
              <w:jc w:val="left"/>
            </w:pPr>
            <w:r>
              <w:rPr>
                <w:b w:val="false"/>
                <w:bCs w:val="false"/>
                <w:color w:val="000000"/>
                <w:sz w:val="19"/>
                <w:szCs w:val="19"/>
              </w:rPr>
              <w:t xml:space="preserve">25 – 50 ppm</w:t>
            </w:r>
          </w:p>
        </w:tc>
        <w:tc>
          <w:tcPr>
            <w:tcW w:type="dxa" w:w="1900"/>
            <w:tcMar>
              <w:top w:type="dxa" w:w="80"/>
              <w:left w:type="dxa" w:w="100"/>
              <w:bottom w:type="dxa" w:w="80"/>
              <w:right w:type="dxa" w:w="100"/>
            </w:tcMar>
            <w:vAlign w:val="center"/>
          </w:tcPr>
          <w:p>
            <w:pPr>
              <w:jc w:val="left"/>
            </w:pPr>
            <w:r>
              <w:rPr>
                <w:b w:val="false"/>
                <w:bCs w:val="false"/>
                <w:color w:val="000000"/>
                <w:sz w:val="19"/>
                <w:szCs w:val="19"/>
              </w:rPr>
              <w:t xml:space="preserve">N/A</w:t>
            </w:r>
          </w:p>
        </w:tc>
        <w:tc>
          <w:tcPr>
            <w:tcW w:type="dxa" w:w="3550"/>
            <w:tcMar>
              <w:top w:type="dxa" w:w="80"/>
              <w:left w:type="dxa" w:w="100"/>
              <w:bottom w:type="dxa" w:w="80"/>
              <w:right w:type="dxa" w:w="100"/>
            </w:tcMar>
            <w:vAlign w:val="center"/>
          </w:tcPr>
          <w:p>
            <w:pPr>
              <w:jc w:val="left"/>
            </w:pPr>
            <w:r>
              <w:rPr>
                <w:b w:val="false"/>
                <w:bCs w:val="false"/>
                <w:color w:val="000000"/>
                <w:sz w:val="19"/>
                <w:szCs w:val="19"/>
              </w:rPr>
              <w:t xml:space="preserve">Monitor per Work Permit special instructions where hydrocarbon vapour release is possible</w:t>
            </w:r>
          </w:p>
        </w:tc>
      </w:tr>
    </w:tbl>
    <w:p>
      <w:pPr>
        <w:pBdr>
          <w:top w:val="single" w:color="9C2B2B" w:sz="4"/>
          <w:bottom w:val="single" w:color="9C2B2B" w:sz="4"/>
          <w:left w:val="single" w:color="9C2B2B" w:sz="4"/>
          <w:right w:val="single" w:color="9C2B2B" w:sz="4"/>
        </w:pBdr>
        <w:shd w:fill="FBEAEA" w:val="clear"/>
        <w:spacing w:after="200" w:before="120"/>
      </w:pPr>
      <w:r>
        <w:rPr>
          <w:b/>
          <w:bCs/>
          <w:color w:val="9C2B2B"/>
          <w:sz w:val="20"/>
          <w:szCs w:val="20"/>
        </w:rPr>
        <w:t xml:space="preserve">IF TANK LEL EXCEEDS 10% AT ANY TIME, THE RENAISSANCE SSO OR SUPERVISOR MUST BE NOTIFIED IMMEDIATELY AND ALL WORK STOPPED.</w:t>
      </w:r>
    </w:p>
    <w:p>
      <w:pPr>
        <w:spacing w:after="160" w:line="276"/>
        <w:jc w:val="both"/>
      </w:pPr>
      <w:r>
        <w:rPr>
          <w:sz w:val="21"/>
          <w:szCs w:val="21"/>
        </w:rPr>
        <w:t xml:space="preserve">Pneumatic/Hydro-Ventilators (blowers and extractors) shall be run continuously to vent the confined space prior to any entry, and forced ventilation using ATEX Blowers shall be applied where LEL levels require it. Nitrogen displaces Oxygen and is colourless and odourless — it will also produce false readings on Explosimeters/Flammable Gas Detectors, so O₂ monitoring must never be treated as optional on a nitrogen-purged Tank.</w:t>
      </w:r>
    </w:p>
    <w:p>
      <w:pPr>
        <w:pStyle w:val="Heading1"/>
        <w:pBdr>
          <w:bottom w:val="single" w:color="1F3864" w:sz="6"/>
        </w:pBdr>
        <w:spacing w:after="160" w:before="360"/>
      </w:pPr>
      <w:r>
        <w:rPr>
          <w:b/>
          <w:bCs/>
          <w:color w:val="1F3864"/>
          <w:sz w:val="26"/>
          <w:szCs w:val="26"/>
        </w:rPr>
        <w:t xml:space="preserve">8.0  CONFINED SPACE ENTRY PERMIT (CSEP) PROCEDURE</w:t>
      </w:r>
    </w:p>
    <w:p>
      <w:pPr>
        <w:pStyle w:val="ListParagraph"/>
        <w:numPr>
          <w:ilvl w:val="0"/>
          <w:numId w:val="2"/>
        </w:numPr>
        <w:spacing w:after="80"/>
      </w:pPr>
      <w:r>
        <w:rPr>
          <w:sz w:val="21"/>
          <w:szCs w:val="21"/>
        </w:rPr>
        <w:t xml:space="preserve">All works require gas testing and the relevant permits (Confined Space Entry Permit and General Work Permit) before starting each day — permits are not valid across shift changes without re-verification.</w:t>
      </w:r>
    </w:p>
    <w:p>
      <w:pPr>
        <w:pStyle w:val="ListParagraph"/>
        <w:numPr>
          <w:ilvl w:val="0"/>
          <w:numId w:val="2"/>
        </w:numPr>
        <w:spacing w:after="80"/>
      </w:pPr>
      <w:r>
        <w:rPr>
          <w:sz w:val="21"/>
          <w:szCs w:val="21"/>
        </w:rPr>
        <w:t xml:space="preserve">A Renaissance-Trained Confined Space Attendant is required for any Permit-Required Confined Space Entry.</w:t>
      </w:r>
    </w:p>
    <w:p>
      <w:pPr>
        <w:pStyle w:val="ListParagraph"/>
        <w:numPr>
          <w:ilvl w:val="0"/>
          <w:numId w:val="2"/>
        </w:numPr>
        <w:spacing w:after="80"/>
      </w:pPr>
      <w:r>
        <w:rPr>
          <w:sz w:val="21"/>
          <w:szCs w:val="21"/>
        </w:rPr>
        <w:t xml:space="preserve">The CSE Permit is issued only after the pre-entry job-site visit (Section 6.0) and atmospheric testing (Section 7.0) confirm acceptable conditions.</w:t>
      </w:r>
    </w:p>
    <w:p>
      <w:pPr>
        <w:pStyle w:val="ListParagraph"/>
        <w:numPr>
          <w:ilvl w:val="0"/>
          <w:numId w:val="2"/>
        </w:numPr>
        <w:spacing w:after="80"/>
      </w:pPr>
      <w:r>
        <w:rPr>
          <w:sz w:val="21"/>
          <w:szCs w:val="21"/>
        </w:rPr>
        <w:t xml:space="preserve">The Permit records: Entrants authorised, Attendant name, atmospheric readings, PPE/respiratory protection required (SCBA, ALBA, or Powered Filter Respirator with 4-Gas Monitor, depending on cleanliness/gas levels), Rescue Team contact for the shift, and communication method.</w:t>
      </w:r>
    </w:p>
    <w:p>
      <w:pPr>
        <w:pStyle w:val="ListParagraph"/>
        <w:numPr>
          <w:ilvl w:val="0"/>
          <w:numId w:val="2"/>
        </w:numPr>
        <w:spacing w:after="80"/>
      </w:pPr>
      <w:r>
        <w:rPr>
          <w:sz w:val="21"/>
          <w:szCs w:val="21"/>
        </w:rPr>
        <w:t xml:space="preserve">The Site Supervisor is responsible for completing the Confined Space Register in collaboration with Renaissance.</w:t>
      </w:r>
    </w:p>
    <w:p>
      <w:pPr>
        <w:pStyle w:val="ListParagraph"/>
        <w:numPr>
          <w:ilvl w:val="0"/>
          <w:numId w:val="2"/>
        </w:numPr>
        <w:spacing w:after="80"/>
      </w:pPr>
      <w:r>
        <w:rPr>
          <w:sz w:val="21"/>
          <w:szCs w:val="21"/>
        </w:rPr>
        <w:t xml:space="preserve">PTW and CSE Permits shall be withdrawn immediately in the event of any incident, near-miss, or change in conditions, pending investigation.</w:t>
      </w:r>
    </w:p>
    <w:p>
      <w:r>
        <w:br w:type="page"/>
      </w:r>
    </w:p>
    <w:p>
      <w:pPr>
        <w:pStyle w:val="Heading1"/>
        <w:pBdr>
          <w:bottom w:val="single" w:color="1F3864" w:sz="6"/>
        </w:pBdr>
        <w:spacing w:after="160" w:before="360"/>
      </w:pPr>
      <w:r>
        <w:rPr>
          <w:b/>
          <w:bCs/>
          <w:color w:val="1F3864"/>
          <w:sz w:val="26"/>
          <w:szCs w:val="26"/>
        </w:rPr>
        <w:t xml:space="preserve">9.0  DUTIES OF THE CONFINED SPACE ATTENDANT</w:t>
      </w:r>
    </w:p>
    <w:p>
      <w:pPr>
        <w:spacing w:after="160" w:line="276"/>
        <w:jc w:val="both"/>
      </w:pPr>
      <w:r>
        <w:rPr>
          <w:sz w:val="21"/>
          <w:szCs w:val="21"/>
        </w:rPr>
        <w:t xml:space="preserve">The Confined Space Attendant is the coordinator between the Entrants and the ‘Outside World’ (Renaissance Control Room by radio, and the Site Supervisor / Plant Operators by radio or verbally), and must be present at the entry point at all times personnel are within the Confined Space. The Attendant shall: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rPr>
          <w:tblHeader/>
        </w:trPr>
        <w:tc>
          <w:tcPr>
            <w:tcW w:type="dxa" w:w="700"/>
            <w:shd w:fill="1F3864" w:val="clear"/>
            <w:tcMar>
              <w:top w:type="dxa" w:w="80"/>
              <w:left w:type="dxa" w:w="100"/>
              <w:bottom w:type="dxa" w:w="80"/>
              <w:right w:type="dxa" w:w="100"/>
            </w:tcMar>
            <w:vAlign w:val="center"/>
          </w:tcPr>
          <w:p>
            <w:pPr>
              <w:jc w:val="center"/>
            </w:pPr>
            <w:r>
              <w:rPr>
                <w:b/>
                <w:bCs/>
                <w:color w:val="FFFFFF"/>
                <w:sz w:val="19"/>
                <w:szCs w:val="19"/>
              </w:rPr>
              <w:t xml:space="preserve">S/N</w:t>
            </w:r>
          </w:p>
        </w:tc>
        <w:tc>
          <w:tcPr>
            <w:tcW w:type="dxa" w:w="8650"/>
            <w:shd w:fill="1F3864" w:val="clear"/>
            <w:tcMar>
              <w:top w:type="dxa" w:w="80"/>
              <w:left w:type="dxa" w:w="100"/>
              <w:bottom w:type="dxa" w:w="80"/>
              <w:right w:type="dxa" w:w="100"/>
            </w:tcMar>
            <w:vAlign w:val="center"/>
          </w:tcPr>
          <w:p>
            <w:pPr>
              <w:jc w:val="left"/>
            </w:pPr>
            <w:r>
              <w:rPr>
                <w:b/>
                <w:bCs/>
                <w:color w:val="FFFFFF"/>
                <w:sz w:val="19"/>
                <w:szCs w:val="19"/>
              </w:rPr>
              <w:t xml:space="preserve">ATTENDANT DUTIES</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1</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Adhere to the Confined Space Attendant Instructions printed on the back of the CSE Permit.</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2</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Sign the Attendant section of the Permit, verifying understanding of the conditions, hazards and requirements of the Permit-Required Confined Space Entry.</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3</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Maintain a written Entry Log of every Entry and Exit of all Tank Entrants (name and time, on the Entry Log or Entry Board).</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4</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Confirm the atmospheric monitoring requirements of the CSE Permit are in place before entry and throughout.</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5</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Maintain continuous audible and/or visual communication with each Entrant within the Confined Space.</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6</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Identify themselves as the Attendant by wearing a red or coloured vest.</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7</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Allow only authorised personnel assigned to the work to enter the Confined Space.</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8</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Be fluent enough in English to evacuate all Entrants in an emergency.</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9</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Ensure every point of entry displays a Danger Sign: “Danger – CSE Permit Required Confined Space – Authorised Personnel Only” (or equivalent).</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10</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Activate the Emergency Notification System (ENS) in the event of an emergency within the Confined Space.</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11</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Never enter the Confined Space to attempt rescue — immediately summon the on-site Rescue Team or Emergency Services.</w:t>
            </w:r>
          </w:p>
        </w:tc>
      </w:tr>
    </w:tbl>
    <w:p>
      <w:pPr>
        <w:pStyle w:val="Heading1"/>
        <w:pBdr>
          <w:bottom w:val="single" w:color="1F3864" w:sz="6"/>
        </w:pBdr>
        <w:spacing w:after="160" w:before="360"/>
      </w:pPr>
      <w:r>
        <w:rPr>
          <w:b/>
          <w:bCs/>
          <w:color w:val="1F3864"/>
          <w:sz w:val="26"/>
          <w:szCs w:val="26"/>
        </w:rPr>
        <w:t xml:space="preserve">10.0  DUTIES OF THE CONFINED SPACE ENTRANT</w:t>
      </w:r>
    </w:p>
    <w:p>
      <w:pPr>
        <w:spacing w:after="160" w:line="276"/>
        <w:jc w:val="both"/>
      </w:pPr>
      <w:r>
        <w:rPr>
          <w:sz w:val="21"/>
          <w:szCs w:val="21"/>
        </w:rPr>
        <w:t xml:space="preserve">Each Entrant must know the hazards related to the specific Permit-Required Confined Space, as communicated by the Operations Representative and described on the CSE Permit or the relevant Material Safety Data Sheet (MSDS). Every employee has the right to know the hazards of the work and should consult their Supervisor about job-specific hazards before entry. Each Entrant shall: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rPr>
          <w:tblHeader/>
        </w:trPr>
        <w:tc>
          <w:tcPr>
            <w:tcW w:type="dxa" w:w="700"/>
            <w:shd w:fill="1F3864" w:val="clear"/>
            <w:tcMar>
              <w:top w:type="dxa" w:w="80"/>
              <w:left w:type="dxa" w:w="100"/>
              <w:bottom w:type="dxa" w:w="80"/>
              <w:right w:type="dxa" w:w="100"/>
            </w:tcMar>
            <w:vAlign w:val="center"/>
          </w:tcPr>
          <w:p>
            <w:pPr>
              <w:jc w:val="center"/>
            </w:pPr>
            <w:r>
              <w:rPr>
                <w:b/>
                <w:bCs/>
                <w:color w:val="FFFFFF"/>
                <w:sz w:val="19"/>
                <w:szCs w:val="19"/>
              </w:rPr>
              <w:t xml:space="preserve">S/N</w:t>
            </w:r>
          </w:p>
        </w:tc>
        <w:tc>
          <w:tcPr>
            <w:tcW w:type="dxa" w:w="8650"/>
            <w:shd w:fill="1F3864" w:val="clear"/>
            <w:tcMar>
              <w:top w:type="dxa" w:w="80"/>
              <w:left w:type="dxa" w:w="100"/>
              <w:bottom w:type="dxa" w:w="80"/>
              <w:right w:type="dxa" w:w="100"/>
            </w:tcMar>
            <w:vAlign w:val="center"/>
          </w:tcPr>
          <w:p>
            <w:pPr>
              <w:jc w:val="left"/>
            </w:pPr>
            <w:r>
              <w:rPr>
                <w:b/>
                <w:bCs/>
                <w:color w:val="FFFFFF"/>
                <w:sz w:val="19"/>
                <w:szCs w:val="19"/>
              </w:rPr>
              <w:t xml:space="preserve">ENTRANT DUTIES</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1</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Log in and out with every Entry and Exit, printing name and marking time on the Entry Log with the CSE Attendant.</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2</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Adhere to the immediate Supervisor's instructions at all times within the Permit-Required Confined Space.</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3</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Be knowledgeable of the job requirements and precautions/concerns listed on the CSE Permit.</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4</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Maintain audible and/or visual communication with the CSE Attendant at all times.</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5</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Wear and use Personal Protective Equipment (PPE) as required by the Permit.</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6</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Use only tools and equipment designed for the work and confirmed in good working condition.</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7</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Know the hazards within the confined space, including signs, symptoms and consequences of exposure, and limitations on access/egress.</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8</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Leave the space immediately in an emergency or when instructed by the CSE Attendant.</w:t>
            </w:r>
          </w:p>
        </w:tc>
      </w:tr>
    </w:tbl>
    <w:p>
      <w:pPr>
        <w:pStyle w:val="Heading1"/>
        <w:pBdr>
          <w:bottom w:val="single" w:color="1F3864" w:sz="6"/>
        </w:pBdr>
        <w:spacing w:after="160" w:before="360"/>
      </w:pPr>
      <w:r>
        <w:rPr>
          <w:b/>
          <w:bCs/>
          <w:color w:val="1F3864"/>
          <w:sz w:val="26"/>
          <w:szCs w:val="26"/>
        </w:rPr>
        <w:t xml:space="preserve">11.0  ENTRY PROCEDURES</w:t>
      </w:r>
    </w:p>
    <w:p>
      <w:pPr>
        <w:pStyle w:val="Heading2"/>
        <w:spacing w:after="120" w:before="260"/>
      </w:pPr>
      <w:r>
        <w:rPr>
          <w:b/>
          <w:bCs/>
          <w:color w:val="1F3864"/>
          <w:sz w:val="23"/>
          <w:szCs w:val="23"/>
        </w:rPr>
        <w:t xml:space="preserve">11.1  Tank Roof Entry (Nitrogen Atmosphere / Cold-Tapping / Nozzle Work)</w:t>
      </w:r>
    </w:p>
    <w:p>
      <w:pPr>
        <w:spacing w:after="160" w:line="276"/>
        <w:jc w:val="both"/>
      </w:pPr>
      <w:r>
        <w:rPr>
          <w:sz w:val="21"/>
          <w:szCs w:val="21"/>
        </w:rPr>
        <w:t xml:space="preserve">Entry to the Tank Roof is only permitted during daylight hours with a valid CSE Permit and PTW, including gas testing. Access during night shift is only carried out by special approval.</w:t>
      </w:r>
    </w:p>
    <w:p>
      <w:pPr>
        <w:pStyle w:val="ListParagraph"/>
        <w:numPr>
          <w:ilvl w:val="0"/>
          <w:numId w:val="2"/>
        </w:numPr>
        <w:spacing w:after="80"/>
      </w:pPr>
      <w:r>
        <w:rPr>
          <w:sz w:val="21"/>
          <w:szCs w:val="21"/>
        </w:rPr>
        <w:t xml:space="preserve">Access is via Escape Breathing Air (EBA) Set with four (4) permanent Gas Detection Units; only personnel holding a CSE Card may enter the Roof, and a CSE Attendant is mandatory for all Roof entries.</w:t>
      </w:r>
    </w:p>
    <w:p>
      <w:pPr>
        <w:pStyle w:val="ListParagraph"/>
        <w:numPr>
          <w:ilvl w:val="0"/>
          <w:numId w:val="2"/>
        </w:numPr>
        <w:spacing w:after="80"/>
      </w:pPr>
      <w:r>
        <w:rPr>
          <w:sz w:val="21"/>
          <w:szCs w:val="21"/>
        </w:rPr>
        <w:t xml:space="preserve">Personnel don the appropriate level of PPE and a toolbox talk is conducted prior to start, addressing safe behaviour at height and on the Roof.</w:t>
      </w:r>
    </w:p>
    <w:p>
      <w:pPr>
        <w:pStyle w:val="ListParagraph"/>
        <w:numPr>
          <w:ilvl w:val="0"/>
          <w:numId w:val="2"/>
        </w:numPr>
        <w:spacing w:after="80"/>
      </w:pPr>
      <w:r>
        <w:rPr>
          <w:sz w:val="21"/>
          <w:szCs w:val="21"/>
        </w:rPr>
        <w:t xml:space="preserve">ATEX Radio contact is maintained between the Watchman at the Tank rim and the Operator in Charge on the Tank Roof; all Roof work is performed using 4-Gas Personal Monitors at all times.</w:t>
      </w:r>
    </w:p>
    <w:p>
      <w:pPr>
        <w:pStyle w:val="ListParagraph"/>
        <w:numPr>
          <w:ilvl w:val="0"/>
          <w:numId w:val="2"/>
        </w:numPr>
        <w:spacing w:after="80"/>
      </w:pPr>
      <w:r>
        <w:rPr>
          <w:sz w:val="21"/>
          <w:szCs w:val="21"/>
        </w:rPr>
        <w:t xml:space="preserve">Access ways and work areas are kept clean and tidy; all equipment is hoisted to the work area in secured bags/cases before personnel access the area.</w:t>
      </w:r>
    </w:p>
    <w:p>
      <w:pPr>
        <w:pStyle w:val="ListParagraph"/>
        <w:numPr>
          <w:ilvl w:val="0"/>
          <w:numId w:val="2"/>
        </w:numPr>
        <w:spacing w:after="80"/>
      </w:pPr>
      <w:r>
        <w:rPr>
          <w:sz w:val="21"/>
          <w:szCs w:val="21"/>
        </w:rPr>
        <w:t xml:space="preserve">The rescue system (Tank Davitt Arm System, certified and defect-free, or Rescue Basket &amp; Crane) is set up before any entry to the Roof, and all entrants familiarize themselves with the rescue plan.</w:t>
      </w:r>
    </w:p>
    <w:p>
      <w:pPr>
        <w:pStyle w:val="ListParagraph"/>
        <w:numPr>
          <w:ilvl w:val="0"/>
          <w:numId w:val="2"/>
        </w:numPr>
        <w:spacing w:after="80"/>
      </w:pPr>
      <w:r>
        <w:rPr>
          <w:sz w:val="21"/>
          <w:szCs w:val="21"/>
        </w:rPr>
        <w:t xml:space="preserve">Do not access the Tank Roof under severe weather conditions (electrical storms and/or rainstorms); evaluate weather before the job and authorize the person in charge to stop work if conditions deteriorate.</w:t>
      </w:r>
    </w:p>
    <w:p>
      <w:pPr>
        <w:pStyle w:val="ListParagraph"/>
        <w:numPr>
          <w:ilvl w:val="0"/>
          <w:numId w:val="2"/>
        </w:numPr>
        <w:spacing w:after="80"/>
      </w:pPr>
      <w:r>
        <w:rPr>
          <w:sz w:val="21"/>
          <w:szCs w:val="21"/>
        </w:rPr>
        <w:t xml:space="preserve">For Non-SCBA tasks specifically, check O₂ sensors, abnormal nitrogen usage, and packing condition prior to commencing entry.</w:t>
      </w:r>
    </w:p>
    <w:p>
      <w:pPr>
        <w:pStyle w:val="ListParagraph"/>
        <w:numPr>
          <w:ilvl w:val="0"/>
          <w:numId w:val="2"/>
        </w:numPr>
        <w:spacing w:after="80"/>
      </w:pPr>
      <w:r>
        <w:rPr>
          <w:sz w:val="21"/>
          <w:szCs w:val="21"/>
        </w:rPr>
        <w:t xml:space="preserve">Where a nozzle change is required under a nitrogen atmosphere: shut down recirculation/suction systems; open all nozzle valves to drain by gravity to the designated Tank; confirm via SCADA that no pressure remains; close all nozzle valves and visually verify secure closure; then don full SCBA (nitrogen atmosphere is present under the nozzle flange) before unbolting the flange, replacing the nozzle, and leak-testing on reactivation.</w:t>
      </w:r>
    </w:p>
    <w:p>
      <w:pPr>
        <w:pStyle w:val="Heading2"/>
        <w:spacing w:after="120" w:before="260"/>
      </w:pPr>
      <w:r>
        <w:rPr>
          <w:b/>
          <w:bCs/>
          <w:color w:val="1F3864"/>
          <w:sz w:val="23"/>
          <w:szCs w:val="23"/>
        </w:rPr>
        <w:t xml:space="preserve">11.2  Tank Interior Entry (Post-ATC Manned Mop-Up)</w:t>
      </w:r>
    </w:p>
    <w:p>
      <w:pPr>
        <w:spacing w:after="160" w:line="276"/>
        <w:jc w:val="both"/>
      </w:pPr>
      <w:r>
        <w:rPr>
          <w:sz w:val="21"/>
          <w:szCs w:val="21"/>
        </w:rPr>
        <w:t xml:space="preserve">The Tank is classified as a Confined Space for all interior entries, whether for final manual mop-up following the ATC process or for full Tank Entry cleaning where required.</w:t>
      </w:r>
    </w:p>
    <w:p>
      <w:pPr>
        <w:pStyle w:val="ListParagraph"/>
        <w:numPr>
          <w:ilvl w:val="0"/>
          <w:numId w:val="2"/>
        </w:numPr>
        <w:spacing w:after="80"/>
      </w:pPr>
      <w:r>
        <w:rPr>
          <w:sz w:val="21"/>
          <w:szCs w:val="21"/>
        </w:rPr>
        <w:t xml:space="preserve">Ensure the Tank is fully ventilated prior to entry commencing; set up the entry point (Renaissance to erect a scaffold weathered enclosure for changeout of footwear at the manway, and a site cabin for the CSE Attendant).</w:t>
      </w:r>
    </w:p>
    <w:p>
      <w:pPr>
        <w:pStyle w:val="ListParagraph"/>
        <w:numPr>
          <w:ilvl w:val="0"/>
          <w:numId w:val="2"/>
        </w:numPr>
        <w:spacing w:after="80"/>
      </w:pPr>
      <w:r>
        <w:rPr>
          <w:sz w:val="21"/>
          <w:szCs w:val="21"/>
        </w:rPr>
        <w:t xml:space="preserve">Renaissance opens the Tank manway (with awareness of asbestos gaskets present) and confirms the Tank is nominally empty.</w:t>
      </w:r>
    </w:p>
    <w:p>
      <w:pPr>
        <w:pStyle w:val="ListParagraph"/>
        <w:numPr>
          <w:ilvl w:val="0"/>
          <w:numId w:val="2"/>
        </w:numPr>
        <w:spacing w:after="80"/>
      </w:pPr>
      <w:r>
        <w:rPr>
          <w:sz w:val="21"/>
          <w:szCs w:val="21"/>
        </w:rPr>
        <w:t xml:space="preserve">Renaissance carries out the initial gas test; LEL must be below 5% to proceed. Carry out forced ventilation using ATEX Blowers if necessary.</w:t>
      </w:r>
    </w:p>
    <w:p>
      <w:pPr>
        <w:pStyle w:val="ListParagraph"/>
        <w:numPr>
          <w:ilvl w:val="0"/>
          <w:numId w:val="2"/>
        </w:numPr>
        <w:spacing w:after="80"/>
      </w:pPr>
      <w:r>
        <w:rPr>
          <w:sz w:val="21"/>
          <w:szCs w:val="21"/>
        </w:rPr>
        <w:t xml:space="preserve">Set up the Rescue System and check all CSE equipment, quarantining any defective items.</w:t>
      </w:r>
    </w:p>
    <w:p>
      <w:pPr>
        <w:pStyle w:val="ListParagraph"/>
        <w:numPr>
          <w:ilvl w:val="0"/>
          <w:numId w:val="2"/>
        </w:numPr>
        <w:spacing w:after="80"/>
      </w:pPr>
      <w:r>
        <w:rPr>
          <w:sz w:val="21"/>
          <w:szCs w:val="21"/>
        </w:rPr>
        <w:t xml:space="preserve">First-entry checks are completed by the Renaissance Process, Maintenance &amp; HSE Supervisor; the CSE Permit is issued only once all safety checks are complete.</w:t>
      </w:r>
    </w:p>
    <w:p>
      <w:pPr>
        <w:pStyle w:val="ListParagraph"/>
        <w:numPr>
          <w:ilvl w:val="0"/>
          <w:numId w:val="2"/>
        </w:numPr>
        <w:spacing w:after="80"/>
      </w:pPr>
      <w:r>
        <w:rPr>
          <w:sz w:val="21"/>
          <w:szCs w:val="21"/>
        </w:rPr>
        <w:t xml:space="preserve">Entry into the Tank is via SCBA or ALBA, or — where cleanliness and gas levels permit — Powered Filter Respirators with permanent Personal 4-Gas Monitors and Escape Sets.</w:t>
      </w:r>
    </w:p>
    <w:p>
      <w:pPr>
        <w:pStyle w:val="ListParagraph"/>
        <w:numPr>
          <w:ilvl w:val="0"/>
          <w:numId w:val="2"/>
        </w:numPr>
        <w:spacing w:after="80"/>
      </w:pPr>
      <w:r>
        <w:rPr>
          <w:sz w:val="21"/>
          <w:szCs w:val="21"/>
        </w:rPr>
        <w:t xml:space="preserve">Rotate entry roles regularly to prevent heat exhaustion, and shut down jetting/wash machinery before any changeover of operators inside the Tank.</w:t>
      </w:r>
    </w:p>
    <w:p>
      <w:pPr>
        <w:pStyle w:val="Heading2"/>
        <w:spacing w:after="120" w:before="260"/>
      </w:pPr>
      <w:r>
        <w:rPr>
          <w:b/>
          <w:bCs/>
          <w:color w:val="1F3864"/>
          <w:sz w:val="23"/>
          <w:szCs w:val="23"/>
        </w:rPr>
        <w:t xml:space="preserve">11.3  Cribbing &amp; Additional Controls for Full Tank Entry Cleaning</w:t>
      </w:r>
    </w:p>
    <w:p>
      <w:pPr>
        <w:spacing w:after="160" w:line="276"/>
        <w:jc w:val="both"/>
      </w:pPr>
      <w:r>
        <w:rPr>
          <w:sz w:val="21"/>
          <w:szCs w:val="21"/>
        </w:rPr>
        <w:t xml:space="preserve">Where a full Tank Entry cleaning is required beyond the ATC/NME automated process, Cribbing (large timber blocks) must be installed to provide additional safety support for the Floating Roof before entry proceeds:</w:t>
      </w:r>
    </w:p>
    <w:p>
      <w:pPr>
        <w:pStyle w:val="ListParagraph"/>
        <w:numPr>
          <w:ilvl w:val="0"/>
          <w:numId w:val="2"/>
        </w:numPr>
        <w:spacing w:after="80"/>
      </w:pPr>
      <w:r>
        <w:rPr>
          <w:sz w:val="21"/>
          <w:szCs w:val="21"/>
        </w:rPr>
        <w:t xml:space="preserve">The floor beneath the Cribbing placement is washed remotely using extension lances prior to installation.</w:t>
      </w:r>
    </w:p>
    <w:p>
      <w:pPr>
        <w:pStyle w:val="ListParagraph"/>
        <w:numPr>
          <w:ilvl w:val="0"/>
          <w:numId w:val="2"/>
        </w:numPr>
        <w:spacing w:after="80"/>
      </w:pPr>
      <w:r>
        <w:rPr>
          <w:sz w:val="21"/>
          <w:szCs w:val="21"/>
        </w:rPr>
        <w:t xml:space="preserve">Cribbing is installed by two-man teams using manual handling techniques, in accordance with the Renaissance Tank Entry Safety Plan.</w:t>
      </w:r>
    </w:p>
    <w:p>
      <w:pPr>
        <w:pStyle w:val="ListParagraph"/>
        <w:numPr>
          <w:ilvl w:val="0"/>
          <w:numId w:val="2"/>
        </w:numPr>
        <w:spacing w:after="80"/>
      </w:pPr>
      <w:r>
        <w:rPr>
          <w:sz w:val="21"/>
          <w:szCs w:val="21"/>
        </w:rPr>
        <w:t xml:space="preserve">Only once Cribbing is confirmed in place may the full Tank Cleaning procedure commence (cold wash by extension lance, hot wash to 2.5 m height under full BA or powered respirator per PTW conditions).</w:t>
      </w:r>
    </w:p>
    <w:p>
      <w:pPr>
        <w:pStyle w:val="ListParagraph"/>
        <w:numPr>
          <w:ilvl w:val="0"/>
          <w:numId w:val="2"/>
        </w:numPr>
        <w:spacing w:after="80"/>
      </w:pPr>
      <w:r>
        <w:rPr>
          <w:sz w:val="21"/>
          <w:szCs w:val="21"/>
        </w:rPr>
        <w:t xml:space="preserve">Personnel remain alert to sumps and other obstructions within the Tank at all times.</w:t>
      </w:r>
    </w:p>
    <w:p>
      <w:r>
        <w:br w:type="page"/>
      </w:r>
    </w:p>
    <w:p>
      <w:pPr>
        <w:pStyle w:val="Heading1"/>
        <w:pBdr>
          <w:bottom w:val="single" w:color="1F3864" w:sz="6"/>
        </w:pBdr>
        <w:spacing w:after="160" w:before="360"/>
      </w:pPr>
      <w:r>
        <w:rPr>
          <w:b/>
          <w:bCs/>
          <w:color w:val="1F3864"/>
          <w:sz w:val="26"/>
          <w:szCs w:val="26"/>
        </w:rPr>
        <w:t xml:space="preserve">12.0  RESCUE EQUIPMENT &amp; STANDBY ARRANGEMENTS</w:t>
      </w:r>
    </w:p>
    <w:p>
      <w:pPr>
        <w:spacing w:after="160" w:line="276"/>
        <w:jc w:val="both"/>
      </w:pPr>
      <w:r>
        <w:rPr>
          <w:sz w:val="21"/>
          <w:szCs w:val="21"/>
        </w:rPr>
        <w:t xml:space="preserve">The following minimum rescue equipment shall be positioned and verified in place before any confined space entry begins, consistent with the SWDA Emergency Response Plan (ERP):</w:t>
      </w:r>
    </w:p>
    <w:p>
      <w:pPr>
        <w:pStyle w:val="Heading2"/>
        <w:spacing w:after="120" w:before="260"/>
      </w:pPr>
      <w:r>
        <w:rPr>
          <w:b/>
          <w:bCs/>
          <w:color w:val="1F3864"/>
          <w:sz w:val="23"/>
          <w:szCs w:val="23"/>
        </w:rPr>
        <w:t xml:space="preserve">12.1  Tank Roof Rescue Equipment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rPr>
          <w:tblHeader/>
        </w:trPr>
        <w:tc>
          <w:tcPr>
            <w:tcW w:type="dxa" w:w="700"/>
            <w:shd w:fill="1F3864" w:val="clear"/>
            <w:tcMar>
              <w:top w:type="dxa" w:w="80"/>
              <w:left w:type="dxa" w:w="100"/>
              <w:bottom w:type="dxa" w:w="80"/>
              <w:right w:type="dxa" w:w="100"/>
            </w:tcMar>
            <w:vAlign w:val="center"/>
          </w:tcPr>
          <w:p>
            <w:pPr>
              <w:jc w:val="center"/>
            </w:pPr>
            <w:r>
              <w:rPr>
                <w:b/>
                <w:bCs/>
                <w:color w:val="FFFFFF"/>
                <w:sz w:val="19"/>
                <w:szCs w:val="19"/>
              </w:rPr>
              <w:t xml:space="preserve">S/N</w:t>
            </w:r>
          </w:p>
        </w:tc>
        <w:tc>
          <w:tcPr>
            <w:tcW w:type="dxa" w:w="8650"/>
            <w:shd w:fill="1F3864" w:val="clear"/>
            <w:tcMar>
              <w:top w:type="dxa" w:w="80"/>
              <w:left w:type="dxa" w:w="100"/>
              <w:bottom w:type="dxa" w:w="80"/>
              <w:right w:type="dxa" w:w="100"/>
            </w:tcMar>
            <w:vAlign w:val="center"/>
          </w:tcPr>
          <w:p>
            <w:pPr>
              <w:jc w:val="left"/>
            </w:pPr>
            <w:r>
              <w:rPr>
                <w:b/>
                <w:bCs/>
                <w:color w:val="FFFFFF"/>
                <w:sz w:val="19"/>
                <w:szCs w:val="19"/>
              </w:rPr>
              <w:t xml:space="preserve">MINIMUM RESCUE EQUIPMENT (ROOF TOP SIDE)</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1</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5 x 15-minute Emergency Life Support Apparatus (ELSA), well distributed across the Roof area</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2</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1 x SCBA with positive-pressure mask and rescue mask (connected through a safety valve), positioned at the foot of the ladder</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3</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1 x SCBA with positive-pressure mask, positioned at the middle of the Tank's Floating Roof</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4</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ATEX Radios connecting the SWDA Crew on the Roof with the Safety Man (provided by SWDA)</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5</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ATEX Radio with connection to the Renaissance SSO Emergency Channel (provided by Renaissance)</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6</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Rescue Winch</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7</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Tank Davitt Arm rescue system (certified, defect-free) and/or Rescue Basket &amp; Crane for initial mobilization</w:t>
            </w:r>
          </w:p>
        </w:tc>
      </w:tr>
    </w:tbl>
    <w:p>
      <w:pPr>
        <w:pStyle w:val="Heading2"/>
        <w:spacing w:after="120" w:before="260"/>
      </w:pPr>
      <w:r>
        <w:rPr>
          <w:b/>
          <w:bCs/>
          <w:color w:val="1F3864"/>
          <w:sz w:val="23"/>
          <w:szCs w:val="23"/>
        </w:rPr>
        <w:t xml:space="preserve">12.2  Internal Tank Cleaning Rescue Equipment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rPr>
          <w:tblHeader/>
        </w:trPr>
        <w:tc>
          <w:tcPr>
            <w:tcW w:type="dxa" w:w="700"/>
            <w:shd w:fill="1F3864" w:val="clear"/>
            <w:tcMar>
              <w:top w:type="dxa" w:w="80"/>
              <w:left w:type="dxa" w:w="100"/>
              <w:bottom w:type="dxa" w:w="80"/>
              <w:right w:type="dxa" w:w="100"/>
            </w:tcMar>
            <w:vAlign w:val="center"/>
          </w:tcPr>
          <w:p>
            <w:pPr>
              <w:jc w:val="center"/>
            </w:pPr>
            <w:r>
              <w:rPr>
                <w:b/>
                <w:bCs/>
                <w:color w:val="FFFFFF"/>
                <w:sz w:val="19"/>
                <w:szCs w:val="19"/>
              </w:rPr>
              <w:t xml:space="preserve">S/N</w:t>
            </w:r>
          </w:p>
        </w:tc>
        <w:tc>
          <w:tcPr>
            <w:tcW w:type="dxa" w:w="8650"/>
            <w:shd w:fill="1F3864" w:val="clear"/>
            <w:tcMar>
              <w:top w:type="dxa" w:w="80"/>
              <w:left w:type="dxa" w:w="100"/>
              <w:bottom w:type="dxa" w:w="80"/>
              <w:right w:type="dxa" w:w="100"/>
            </w:tcMar>
            <w:vAlign w:val="center"/>
          </w:tcPr>
          <w:p>
            <w:pPr>
              <w:jc w:val="left"/>
            </w:pPr>
            <w:r>
              <w:rPr>
                <w:b/>
                <w:bCs/>
                <w:color w:val="FFFFFF"/>
                <w:sz w:val="19"/>
                <w:szCs w:val="19"/>
              </w:rPr>
              <w:t xml:space="preserve">MINIMUM RESCUE EQUIPMENT (ENTRY POINT)</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1</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3 x 15-minute Emergency Life Support Apparatus (ELSA), well distributed for the SWDA Tank Cleaning Team</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2</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1 x SCBA with positive-pressure mask and rescue mask (connected through a safety valve), positioned at the Entry Point</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3</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ATEX Radio with connection to the Renaissance Emergency Channel (provided by Renaissance)</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4</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Rescue Line</w:t>
            </w:r>
          </w:p>
        </w:tc>
      </w:tr>
    </w:tbl>
    <w:p>
      <w:pPr>
        <w:spacing w:after="160" w:line="276"/>
        <w:jc w:val="both"/>
      </w:pPr>
      <w:r>
        <w:rPr>
          <w:sz w:val="21"/>
          <w:szCs w:val="21"/>
        </w:rPr>
        <w:t xml:space="preserve">The Crane shall be set up and on standby to provide rescue from the Roof; subject to agreement, the Crane may be stood down and the Davitt Arm Rescue System employed as the main rescue system. BA and ELSA (Escape Sets) shall be distributed across the full Floating Roof area. All plant equipment and nitrogen purge shall be stopped during any rescue.</w:t>
      </w:r>
    </w:p>
    <w:p>
      <w:pPr>
        <w:pStyle w:val="Heading1"/>
        <w:pBdr>
          <w:bottom w:val="single" w:color="1F3864" w:sz="6"/>
        </w:pBdr>
        <w:spacing w:after="160" w:before="360"/>
      </w:pPr>
      <w:r>
        <w:rPr>
          <w:b/>
          <w:bCs/>
          <w:color w:val="1F3864"/>
          <w:sz w:val="26"/>
          <w:szCs w:val="26"/>
        </w:rPr>
        <w:t xml:space="preserve">13.0  EMERGENCY EVACUATION FROM A CONFINED SPACE</w:t>
      </w:r>
    </w:p>
    <w:p>
      <w:pPr>
        <w:pStyle w:val="ListParagraph"/>
        <w:numPr>
          <w:ilvl w:val="0"/>
          <w:numId w:val="2"/>
        </w:numPr>
        <w:spacing w:after="80"/>
      </w:pPr>
      <w:r>
        <w:rPr>
          <w:sz w:val="21"/>
          <w:szCs w:val="21"/>
        </w:rPr>
        <w:t xml:space="preserve">Entrants must exit the confined space as quickly as possible when: an evacuation order is given by the CSE Attendant or Entry Supervisor; an Entrant recognizes a sign or symptom of over-exposure; an unacceptable condition arises; or the evacuation alarm activates.</w:t>
      </w:r>
    </w:p>
    <w:p>
      <w:pPr>
        <w:pStyle w:val="ListParagraph"/>
        <w:numPr>
          <w:ilvl w:val="0"/>
          <w:numId w:val="2"/>
        </w:numPr>
        <w:spacing w:after="80"/>
      </w:pPr>
      <w:r>
        <w:rPr>
          <w:sz w:val="21"/>
          <w:szCs w:val="21"/>
        </w:rPr>
        <w:t xml:space="preserve">The CSE Attendant must be notified immediately if an Entrant recognizes unusual action/behaviour, an unexpected hazard, an unsafe act, or a condition prohibited by the CSE Permit.</w:t>
      </w:r>
    </w:p>
    <w:p>
      <w:pPr>
        <w:pStyle w:val="ListParagraph"/>
        <w:numPr>
          <w:ilvl w:val="0"/>
          <w:numId w:val="2"/>
        </w:numPr>
        <w:spacing w:after="80"/>
      </w:pPr>
      <w:r>
        <w:rPr>
          <w:sz w:val="21"/>
          <w:szCs w:val="21"/>
        </w:rPr>
        <w:t xml:space="preserve">In the event of a Confined Space Rescue, the CSE Attendant does NOT enter the space — the Attendant immediately summons the Rescue Response from the on-site Rescue Team or Emergency Services using the communication method described on the CSE Permit.</w:t>
      </w:r>
    </w:p>
    <w:p>
      <w:pPr>
        <w:pStyle w:val="ListParagraph"/>
        <w:numPr>
          <w:ilvl w:val="0"/>
          <w:numId w:val="2"/>
        </w:numPr>
        <w:spacing w:after="80"/>
      </w:pPr>
      <w:r>
        <w:rPr>
          <w:sz w:val="21"/>
          <w:szCs w:val="21"/>
        </w:rPr>
        <w:t xml:space="preserve">A single radio frequency shall be nominated for all Emergency Messages by SWDA &amp; Renaissance.</w:t>
      </w:r>
    </w:p>
    <w:p>
      <w:pPr>
        <w:pStyle w:val="ListParagraph"/>
        <w:numPr>
          <w:ilvl w:val="0"/>
          <w:numId w:val="2"/>
        </w:numPr>
        <w:spacing w:after="80"/>
      </w:pPr>
      <w:r>
        <w:rPr>
          <w:sz w:val="21"/>
          <w:szCs w:val="21"/>
        </w:rPr>
        <w:t xml:space="preserve">Full evacuation, notification and MEDEVAC procedures are detailed in the SWDA Emergency Response Plan (ERP), Sections 7.0–9.0.</w:t>
      </w:r>
    </w:p>
    <w:p>
      <w:pPr>
        <w:pStyle w:val="Heading1"/>
        <w:pBdr>
          <w:bottom w:val="single" w:color="1F3864" w:sz="6"/>
        </w:pBdr>
        <w:spacing w:after="160" w:before="360"/>
      </w:pPr>
      <w:r>
        <w:rPr>
          <w:b/>
          <w:bCs/>
          <w:color w:val="1F3864"/>
          <w:sz w:val="26"/>
          <w:szCs w:val="26"/>
        </w:rPr>
        <w:t xml:space="preserve">14.0  CONFINED SPACE ENTRY CHECKLIST</w:t>
      </w:r>
    </w:p>
    <w:p>
      <w:pPr>
        <w:pStyle w:val="ListParagraph"/>
        <w:numPr>
          <w:ilvl w:val="0"/>
          <w:numId w:val="2"/>
        </w:numPr>
        <w:spacing w:after="80"/>
      </w:pPr>
      <w:r>
        <w:rPr>
          <w:sz w:val="21"/>
          <w:szCs w:val="21"/>
        </w:rPr>
        <w:t xml:space="preserve">Ensure all Rescue Equipment is in place, in proper working order and within test date.</w:t>
      </w:r>
    </w:p>
    <w:p>
      <w:pPr>
        <w:pStyle w:val="ListParagraph"/>
        <w:numPr>
          <w:ilvl w:val="0"/>
          <w:numId w:val="2"/>
        </w:numPr>
        <w:spacing w:after="80"/>
      </w:pPr>
      <w:r>
        <w:rPr>
          <w:sz w:val="21"/>
          <w:szCs w:val="21"/>
        </w:rPr>
        <w:t xml:space="preserve">Respirators/dust masks filter contaminants only — they do NOT supply air; SCBA must be worn if air quality is poor.</w:t>
      </w:r>
    </w:p>
    <w:p>
      <w:pPr>
        <w:pStyle w:val="ListParagraph"/>
        <w:numPr>
          <w:ilvl w:val="0"/>
          <w:numId w:val="2"/>
        </w:numPr>
        <w:spacing w:after="80"/>
      </w:pPr>
      <w:r>
        <w:rPr>
          <w:sz w:val="21"/>
          <w:szCs w:val="21"/>
        </w:rPr>
        <w:t xml:space="preserve">Confirm all Operators (Attendants / Standby Personnel / Rescue Personnel) hold valid, current Confined Space training, including Confined Space Attendant Training by SWDA/Renaissance.</w:t>
      </w:r>
    </w:p>
    <w:p>
      <w:pPr>
        <w:pStyle w:val="ListParagraph"/>
        <w:numPr>
          <w:ilvl w:val="0"/>
          <w:numId w:val="2"/>
        </w:numPr>
        <w:spacing w:after="80"/>
      </w:pPr>
      <w:r>
        <w:rPr>
          <w:sz w:val="21"/>
          <w:szCs w:val="21"/>
        </w:rPr>
        <w:t xml:space="preserve">Review the Emergency Rescue Procedure via Toolbox Talk prior to entry commencing.</w:t>
      </w:r>
    </w:p>
    <w:p>
      <w:pPr>
        <w:pStyle w:val="ListParagraph"/>
        <w:numPr>
          <w:ilvl w:val="0"/>
          <w:numId w:val="2"/>
        </w:numPr>
        <w:spacing w:after="80"/>
      </w:pPr>
      <w:r>
        <w:rPr>
          <w:sz w:val="21"/>
          <w:szCs w:val="21"/>
        </w:rPr>
        <w:t xml:space="preserve">Establish and confirm how communication between Entrants and Attendant will be carried out (ATEX Radios, gas-detector integrated comms, or phone — verify signal availability).</w:t>
      </w:r>
    </w:p>
    <w:p>
      <w:pPr>
        <w:pStyle w:val="ListParagraph"/>
        <w:numPr>
          <w:ilvl w:val="0"/>
          <w:numId w:val="2"/>
        </w:numPr>
        <w:spacing w:after="80"/>
      </w:pPr>
      <w:r>
        <w:rPr>
          <w:sz w:val="21"/>
          <w:szCs w:val="21"/>
        </w:rPr>
        <w:t xml:space="preserve">Ensure the Attendant and Entrants remain in constant communication throughout the entry.</w:t>
      </w:r>
    </w:p>
    <w:p>
      <w:pPr>
        <w:pStyle w:val="ListParagraph"/>
        <w:numPr>
          <w:ilvl w:val="0"/>
          <w:numId w:val="2"/>
        </w:numPr>
        <w:spacing w:after="80"/>
      </w:pPr>
      <w:r>
        <w:rPr>
          <w:sz w:val="21"/>
          <w:szCs w:val="21"/>
        </w:rPr>
        <w:t xml:space="preserve">Establish how the Rescue Team / Emergency Services can be contacted.</w:t>
      </w:r>
    </w:p>
    <w:p>
      <w:pPr>
        <w:pStyle w:val="ListParagraph"/>
        <w:numPr>
          <w:ilvl w:val="0"/>
          <w:numId w:val="2"/>
        </w:numPr>
        <w:spacing w:after="80"/>
      </w:pPr>
      <w:r>
        <w:rPr>
          <w:sz w:val="21"/>
          <w:szCs w:val="21"/>
        </w:rPr>
        <w:t xml:space="preserve">Confirm the day's Rescue Team names and contact details are entered on the CSE &amp; PTW system.</w:t>
      </w:r>
    </w:p>
    <w:p>
      <w:pPr>
        <w:pStyle w:val="Heading1"/>
        <w:pBdr>
          <w:bottom w:val="single" w:color="1F3864" w:sz="6"/>
        </w:pBdr>
        <w:spacing w:after="160" w:before="360"/>
      </w:pPr>
      <w:r>
        <w:rPr>
          <w:b/>
          <w:bCs/>
          <w:color w:val="1F3864"/>
          <w:sz w:val="26"/>
          <w:szCs w:val="26"/>
        </w:rPr>
        <w:t xml:space="preserve">15.0  ENTRY LOG &amp; TALLY BOARD REQUIREMENTS</w:t>
      </w:r>
    </w:p>
    <w:p>
      <w:pPr>
        <w:spacing w:after="160" w:line="276"/>
        <w:jc w:val="both"/>
      </w:pPr>
      <w:r>
        <w:rPr>
          <w:sz w:val="21"/>
          <w:szCs w:val="21"/>
        </w:rPr>
        <w:t xml:space="preserve">The Confined Space Attendant is responsible for recording all Entry and Egress from the Confined Space on the Man Register / Tally Board, printing the name and time of each Entry and Exit on the Entry Log provided on the reverse of the CSE Permit or on a dedicated Entry Board. The Entry Team is logged on a Daily Register, and the Site Supervisor is responsible for completing the Confined Space Register in collaboration with Renaissance.</w:t>
      </w:r>
    </w:p>
    <w:p>
      <w:pPr>
        <w:pStyle w:val="Heading1"/>
        <w:pBdr>
          <w:bottom w:val="single" w:color="1F3864" w:sz="6"/>
        </w:pBdr>
        <w:spacing w:after="160" w:before="360"/>
      </w:pPr>
      <w:r>
        <w:rPr>
          <w:b/>
          <w:bCs/>
          <w:color w:val="1F3864"/>
          <w:sz w:val="26"/>
          <w:szCs w:val="26"/>
        </w:rPr>
        <w:t xml:space="preserve">16.0  TRAINING &amp; COMPETENCY REQUIREMENTS</w:t>
      </w:r>
    </w:p>
    <w:p>
      <w:pPr>
        <w:spacing w:after="160" w:line="276"/>
        <w:jc w:val="both"/>
      </w:pPr>
      <w:r>
        <w:rPr>
          <w:sz w:val="21"/>
          <w:szCs w:val="21"/>
        </w:rPr>
        <w:t xml:space="preserve">All CSE Attendants, Entrants, Plant Men and Rescue Team members shall hold current, verifiable Confined Space Entry training and certification appropriate to their role, in addition to the general mandatory Project requirements (Fit-For-Duty medical, BOSIET, Off-Shore Safety Permit). The Confined Space Entry Team shall be trained and certified specifically in Confined Space work, and Rescue Team members shall be nominated jointly by Renaissance and SWDA with their names and contacts recorded on the CSE Permit.</w:t>
      </w:r>
    </w:p>
    <w:p>
      <w:pPr>
        <w:pStyle w:val="Heading1"/>
        <w:pBdr>
          <w:bottom w:val="single" w:color="1F3864" w:sz="6"/>
        </w:pBdr>
        <w:spacing w:after="160" w:before="360"/>
      </w:pPr>
      <w:r>
        <w:rPr>
          <w:b/>
          <w:bCs/>
          <w:color w:val="1F3864"/>
          <w:sz w:val="26"/>
          <w:szCs w:val="26"/>
        </w:rPr>
        <w:t xml:space="preserve">17.0  REVIEW &amp; APPROVAL</w:t>
      </w:r>
    </w:p>
    <w:p>
      <w:pPr>
        <w:spacing w:after="160" w:line="276"/>
        <w:jc w:val="both"/>
      </w:pPr>
      <w:r>
        <w:rPr>
          <w:sz w:val="21"/>
          <w:szCs w:val="21"/>
        </w:rPr>
        <w:t xml:space="preserve">This Confined Space Entry Procedure shall be reviewed prior to mobilization to each new Tank Site and updated where Tank configuration, entry-point arrangements, or Renaissance site-specific requirements differ materially from the assumptions herein, and following any incident, near-miss, or drill that reveals a gap. This Procedure is approved for implementation by the following: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2183"/>
        <w:gridCol w:w="2183"/>
        <w:gridCol w:w="2184"/>
      </w:tblGrid>
      <w:tr>
        <w:trPr>
          <w:tblHeader/>
        </w:trPr>
        <w:tc>
          <w:tcPr>
            <w:tcW w:type="dxa" w:w="2800"/>
            <w:shd w:fill="1F3864" w:val="clear"/>
            <w:tcMar>
              <w:top w:type="dxa" w:w="80"/>
              <w:left w:type="dxa" w:w="100"/>
              <w:bottom w:type="dxa" w:w="80"/>
              <w:right w:type="dxa" w:w="100"/>
            </w:tcMar>
            <w:vAlign w:val="center"/>
          </w:tcPr>
          <w:p>
            <w:pPr>
              <w:jc w:val="left"/>
            </w:pPr>
            <w:r>
              <w:rPr>
                <w:b/>
                <w:bCs/>
                <w:color w:val="FFFFFF"/>
                <w:sz w:val="19"/>
                <w:szCs w:val="19"/>
              </w:rPr>
              <w:t xml:space="preserve">ROLE</w:t>
            </w:r>
          </w:p>
        </w:tc>
        <w:tc>
          <w:tcPr>
            <w:tcW w:type="dxa" w:w="2183"/>
            <w:shd w:fill="1F3864" w:val="clear"/>
            <w:tcMar>
              <w:top w:type="dxa" w:w="80"/>
              <w:left w:type="dxa" w:w="100"/>
              <w:bottom w:type="dxa" w:w="80"/>
              <w:right w:type="dxa" w:w="100"/>
            </w:tcMar>
            <w:vAlign w:val="center"/>
          </w:tcPr>
          <w:p>
            <w:pPr>
              <w:jc w:val="left"/>
            </w:pPr>
            <w:r>
              <w:rPr>
                <w:b/>
                <w:bCs/>
                <w:color w:val="FFFFFF"/>
                <w:sz w:val="19"/>
                <w:szCs w:val="19"/>
              </w:rPr>
              <w:t xml:space="preserve">NAME</w:t>
            </w:r>
          </w:p>
        </w:tc>
        <w:tc>
          <w:tcPr>
            <w:tcW w:type="dxa" w:w="2183"/>
            <w:shd w:fill="1F3864" w:val="clear"/>
            <w:tcMar>
              <w:top w:type="dxa" w:w="80"/>
              <w:left w:type="dxa" w:w="100"/>
              <w:bottom w:type="dxa" w:w="80"/>
              <w:right w:type="dxa" w:w="100"/>
            </w:tcMar>
            <w:vAlign w:val="center"/>
          </w:tcPr>
          <w:p>
            <w:pPr>
              <w:jc w:val="left"/>
            </w:pPr>
            <w:r>
              <w:rPr>
                <w:b/>
                <w:bCs/>
                <w:color w:val="FFFFFF"/>
                <w:sz w:val="19"/>
                <w:szCs w:val="19"/>
              </w:rPr>
              <w:t xml:space="preserve">SIGNATURE</w:t>
            </w:r>
          </w:p>
        </w:tc>
        <w:tc>
          <w:tcPr>
            <w:tcW w:type="dxa" w:w="2184"/>
            <w:shd w:fill="1F3864" w:val="clear"/>
            <w:tcMar>
              <w:top w:type="dxa" w:w="80"/>
              <w:left w:type="dxa" w:w="100"/>
              <w:bottom w:type="dxa" w:w="80"/>
              <w:right w:type="dxa" w:w="100"/>
            </w:tcMar>
            <w:vAlign w:val="center"/>
          </w:tcPr>
          <w:p>
            <w:pPr>
              <w:jc w:val="left"/>
            </w:pPr>
            <w:r>
              <w:rPr>
                <w:b/>
                <w:bCs/>
                <w:color w:val="FFFFFF"/>
                <w:sz w:val="19"/>
                <w:szCs w:val="19"/>
              </w:rPr>
              <w:t xml:space="preserve">DATE</w:t>
            </w:r>
          </w:p>
        </w:tc>
      </w:tr>
      <w:tr>
        <w:tc>
          <w:tcPr>
            <w:tcW w:type="dxa" w:w="2800"/>
            <w:shd w:fill="D9D9D9" w:val="clear"/>
            <w:tcMar>
              <w:top w:type="dxa" w:w="80"/>
              <w:left w:type="dxa" w:w="100"/>
              <w:bottom w:type="dxa" w:w="80"/>
              <w:right w:type="dxa" w:w="100"/>
            </w:tcMar>
            <w:vAlign w:val="center"/>
          </w:tcPr>
          <w:p>
            <w:pPr>
              <w:jc w:val="left"/>
            </w:pPr>
            <w:r>
              <w:rPr>
                <w:b/>
                <w:bCs/>
                <w:color w:val="000000"/>
                <w:sz w:val="19"/>
                <w:szCs w:val="19"/>
              </w:rPr>
              <w:t xml:space="preserve">SWDA – Project Director</w:t>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4"/>
            <w:tcMar>
              <w:top w:type="dxa" w:w="80"/>
              <w:left w:type="dxa" w:w="100"/>
              <w:bottom w:type="dxa" w:w="80"/>
              <w:right w:type="dxa" w:w="100"/>
            </w:tcMar>
            <w:vAlign w:val="center"/>
          </w:tcPr>
          <w:p>
            <w:pPr>
              <w:jc w:val="left"/>
            </w:pPr>
            <w:r>
              <w:rPr>
                <w:b w:val="false"/>
                <w:bCs w:val="false"/>
                <w:color w:val="000000"/>
                <w:sz w:val="19"/>
                <w:szCs w:val="19"/>
              </w:rPr>
              <w:t xml:space="preserve"/>
            </w:r>
          </w:p>
        </w:tc>
      </w:tr>
      <w:tr>
        <w:tc>
          <w:tcPr>
            <w:tcW w:type="dxa" w:w="2800"/>
            <w:shd w:fill="D9D9D9" w:val="clear"/>
            <w:tcMar>
              <w:top w:type="dxa" w:w="80"/>
              <w:left w:type="dxa" w:w="100"/>
              <w:bottom w:type="dxa" w:w="80"/>
              <w:right w:type="dxa" w:w="100"/>
            </w:tcMar>
            <w:vAlign w:val="center"/>
          </w:tcPr>
          <w:p>
            <w:pPr>
              <w:jc w:val="left"/>
            </w:pPr>
            <w:r>
              <w:rPr>
                <w:b/>
                <w:bCs/>
                <w:color w:val="000000"/>
                <w:sz w:val="19"/>
                <w:szCs w:val="19"/>
              </w:rPr>
              <w:t xml:space="preserve">SWDA – Site Safety Manager</w:t>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4"/>
            <w:tcMar>
              <w:top w:type="dxa" w:w="80"/>
              <w:left w:type="dxa" w:w="100"/>
              <w:bottom w:type="dxa" w:w="80"/>
              <w:right w:type="dxa" w:w="100"/>
            </w:tcMar>
            <w:vAlign w:val="center"/>
          </w:tcPr>
          <w:p>
            <w:pPr>
              <w:jc w:val="left"/>
            </w:pPr>
            <w:r>
              <w:rPr>
                <w:b w:val="false"/>
                <w:bCs w:val="false"/>
                <w:color w:val="000000"/>
                <w:sz w:val="19"/>
                <w:szCs w:val="19"/>
              </w:rPr>
              <w:t xml:space="preserve"/>
            </w:r>
          </w:p>
        </w:tc>
      </w:tr>
      <w:tr>
        <w:tc>
          <w:tcPr>
            <w:tcW w:type="dxa" w:w="2800"/>
            <w:shd w:fill="D9D9D9" w:val="clear"/>
            <w:tcMar>
              <w:top w:type="dxa" w:w="80"/>
              <w:left w:type="dxa" w:w="100"/>
              <w:bottom w:type="dxa" w:w="80"/>
              <w:right w:type="dxa" w:w="100"/>
            </w:tcMar>
            <w:vAlign w:val="center"/>
          </w:tcPr>
          <w:p>
            <w:pPr>
              <w:jc w:val="left"/>
            </w:pPr>
            <w:r>
              <w:rPr>
                <w:b/>
                <w:bCs/>
                <w:color w:val="000000"/>
                <w:sz w:val="19"/>
                <w:szCs w:val="19"/>
              </w:rPr>
              <w:t xml:space="preserve">SWDA – Site / Project Manager</w:t>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4"/>
            <w:tcMar>
              <w:top w:type="dxa" w:w="80"/>
              <w:left w:type="dxa" w:w="100"/>
              <w:bottom w:type="dxa" w:w="80"/>
              <w:right w:type="dxa" w:w="100"/>
            </w:tcMar>
            <w:vAlign w:val="center"/>
          </w:tcPr>
          <w:p>
            <w:pPr>
              <w:jc w:val="left"/>
            </w:pPr>
            <w:r>
              <w:rPr>
                <w:b w:val="false"/>
                <w:bCs w:val="false"/>
                <w:color w:val="000000"/>
                <w:sz w:val="19"/>
                <w:szCs w:val="19"/>
              </w:rPr>
              <w:t xml:space="preserve"/>
            </w:r>
          </w:p>
        </w:tc>
      </w:tr>
      <w:tr>
        <w:tc>
          <w:tcPr>
            <w:tcW w:type="dxa" w:w="2800"/>
            <w:shd w:fill="D9D9D9" w:val="clear"/>
            <w:tcMar>
              <w:top w:type="dxa" w:w="80"/>
              <w:left w:type="dxa" w:w="100"/>
              <w:bottom w:type="dxa" w:w="80"/>
              <w:right w:type="dxa" w:w="100"/>
            </w:tcMar>
            <w:vAlign w:val="center"/>
          </w:tcPr>
          <w:p>
            <w:pPr>
              <w:jc w:val="left"/>
            </w:pPr>
            <w:r>
              <w:rPr>
                <w:b/>
                <w:bCs/>
                <w:color w:val="000000"/>
                <w:sz w:val="19"/>
                <w:szCs w:val="19"/>
              </w:rPr>
              <w:t xml:space="preserve">Renaissance – Process Area Lead</w:t>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4"/>
            <w:tcMar>
              <w:top w:type="dxa" w:w="80"/>
              <w:left w:type="dxa" w:w="100"/>
              <w:bottom w:type="dxa" w:w="80"/>
              <w:right w:type="dxa" w:w="100"/>
            </w:tcMar>
            <w:vAlign w:val="center"/>
          </w:tcPr>
          <w:p>
            <w:pPr>
              <w:jc w:val="left"/>
            </w:pPr>
            <w:r>
              <w:rPr>
                <w:b w:val="false"/>
                <w:bCs w:val="false"/>
                <w:color w:val="000000"/>
                <w:sz w:val="19"/>
                <w:szCs w:val="19"/>
              </w:rPr>
              <w:t xml:space="preserve"/>
            </w:r>
          </w:p>
        </w:tc>
      </w:tr>
      <w:tr>
        <w:tc>
          <w:tcPr>
            <w:tcW w:type="dxa" w:w="2800"/>
            <w:shd w:fill="D9D9D9" w:val="clear"/>
            <w:tcMar>
              <w:top w:type="dxa" w:w="80"/>
              <w:left w:type="dxa" w:w="100"/>
              <w:bottom w:type="dxa" w:w="80"/>
              <w:right w:type="dxa" w:w="100"/>
            </w:tcMar>
            <w:vAlign w:val="center"/>
          </w:tcPr>
          <w:p>
            <w:pPr>
              <w:jc w:val="left"/>
            </w:pPr>
            <w:r>
              <w:rPr>
                <w:b/>
                <w:bCs/>
                <w:color w:val="000000"/>
                <w:sz w:val="19"/>
                <w:szCs w:val="19"/>
              </w:rPr>
              <w:t xml:space="preserve">Renaissance – HSE Representative</w:t>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4"/>
            <w:tcMar>
              <w:top w:type="dxa" w:w="80"/>
              <w:left w:type="dxa" w:w="100"/>
              <w:bottom w:type="dxa" w:w="80"/>
              <w:right w:type="dxa" w:w="100"/>
            </w:tcMar>
            <w:vAlign w:val="center"/>
          </w:tcPr>
          <w:p>
            <w:pPr>
              <w:jc w:val="left"/>
            </w:pPr>
            <w:r>
              <w:rPr>
                <w:b w:val="false"/>
                <w:bCs w:val="false"/>
                <w:color w:val="000000"/>
                <w:sz w:val="19"/>
                <w:szCs w:val="19"/>
              </w:rPr>
              <w:t xml:space="preserve"/>
            </w:r>
          </w:p>
        </w:tc>
      </w:tr>
    </w:tbl>
    <w:sectPr>
      <w:headerReference w:type="default" r:id="rId7"/>
      <w:footerReference w:type="default" r:id="rId8"/>
      <w:pgSz w:w="12240" w:h="15840" w:orient="portrait"/>
      <w:pgMar w:top="1000" w:right="900" w:bottom="10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Doc. No. RENAISSANCE-CW-68582 / SWDA-2026-RAEC-001-CSE   |   Rev. 01   |   Page </w:t>
    </w:r>
    <w:r>
      <w:rPr>
        <w:color w:val="666666"/>
        <w:sz w:val="16"/>
        <w:szCs w:val="16"/>
      </w:rPr>
      <w:fldChar w:fldCharType="begin"/>
      <w:instrText xml:space="preserve">PAGE</w:instrText>
      <w:fldChar w:fldCharType="separate"/>
      <w:fldChar w:fldCharType="end"/>
    </w:r>
    <w:r>
      <w:rPr>
        <w:color w:val="666666"/>
        <w:sz w:val="16"/>
        <w:szCs w:val="16"/>
      </w:rPr>
      <w:t xml:space="preserve"> of </w:t>
    </w:r>
    <w:r>
      <w:rPr>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4"/>
      </w:pBdr>
    </w:pPr>
    <w:r>
      <w:rPr>
        <w:color w:val="666666"/>
        <w:sz w:val="16"/>
        <w:szCs w:val="16"/>
      </w:rPr>
      <w:t xml:space="preserve">SWDA – Renaissance 18-Tank ATC/NME Project – Confined Space Entry Procedure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lvl w:ilvl="1" w15:tentative="1">
      <w:start w:val="1"/>
      <w:numFmt w:val="bullet"/>
      <w:lvlText w:val="–"/>
      <w:lvlJc w:val="left"/>
      <w:pPr>
        <w:ind w:left="82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2026-08-04T13:38:58.110Z</dcterms:created>
  <dcterms:modified xsi:type="dcterms:W3CDTF">2026-08-04T13:38:58.123Z</dcterms:modified>
</cp:coreProperties>
</file>

<file path=docProps/custom.xml><?xml version="1.0" encoding="utf-8"?>
<Properties xmlns="http://schemas.openxmlformats.org/officeDocument/2006/custom-properties" xmlns:vt="http://schemas.openxmlformats.org/officeDocument/2006/docPropsVTypes"/>
</file>