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00"/>
      </w:pPr>
      <w:r>
        <w:rPr>
          <w:rFonts w:ascii="Calibri" w:cs="Calibri" w:eastAsia="Calibri" w:hAnsi="Calibri"/>
          <w:color w:val="1A1A1A"/>
          <w:sz w:val="20"/>
          <w:szCs w:val="20"/>
        </w:rPr>
        <w:t xml:space="preserve"/>
      </w:r>
    </w:p>
    <w:p>
      <w:pPr>
        <w:pBdr>
          <w:bottom w:val="single" w:color="B8944F" w:sz="12" w:space="10"/>
        </w:pBdr>
        <w:spacing w:after="0" w:before="800"/>
        <w:jc w:val="center"/>
      </w:pPr>
      <w:r>
        <w:rPr>
          <w:rFonts w:ascii="Calibri" w:cs="Calibri" w:eastAsia="Calibri" w:hAnsi="Calibri"/>
          <w:b/>
          <w:bCs/>
          <w:color w:val="1B2A4A"/>
          <w:sz w:val="32"/>
          <w:szCs w:val="32"/>
        </w:rPr>
        <w:t xml:space="preserve">SOUTH WEST DESIGN AFRICA LIMITED</w:t>
      </w:r>
    </w:p>
    <w:p>
      <w:pPr>
        <w:spacing w:after="600" w:before="120"/>
        <w:jc w:val="center"/>
      </w:pPr>
      <w:r>
        <w:rPr>
          <w:rFonts w:ascii="Calibri" w:cs="Calibri" w:eastAsia="Calibri" w:hAnsi="Calibri"/>
          <w:i/>
          <w:iCs/>
          <w:color w:val="0F6C6C"/>
          <w:sz w:val="20"/>
          <w:szCs w:val="20"/>
        </w:rPr>
        <w:t xml:space="preserve">HSE &amp; Project Compliance Documentation</w:t>
      </w:r>
    </w:p>
    <w:p>
      <w:pPr>
        <w:spacing w:after="200" w:before="1200"/>
        <w:jc w:val="center"/>
      </w:pPr>
      <w:r>
        <w:rPr>
          <w:rFonts w:ascii="Calibri" w:cs="Calibri" w:eastAsia="Calibri" w:hAnsi="Calibri"/>
          <w:b/>
          <w:bCs/>
          <w:color w:val="1B2A4A"/>
          <w:sz w:val="44"/>
          <w:szCs w:val="44"/>
        </w:rPr>
        <w:t xml:space="preserve">SWDA PERSONAL PROTECTIVE EQUIPMENT (PPE) PROCEDURE</w:t>
      </w:r>
    </w:p>
    <w:p>
      <w:pPr>
        <w:spacing w:after="800" w:before="0"/>
        <w:jc w:val="center"/>
      </w:pPr>
      <w:r>
        <w:rPr>
          <w:rFonts w:ascii="Calibri" w:cs="Calibri" w:eastAsia="Calibri" w:hAnsi="Calibri"/>
          <w:color w:val="0F6C6C"/>
          <w:sz w:val="22"/>
          <w:szCs w:val="22"/>
        </w:rPr>
        <w:t xml:space="preserve">Hierarchy of Controls • PPE Selection Matrix • Issuance, Inspection &amp; Fit Testing</w:t>
      </w:r>
    </w:p>
    <w:p>
      <w:pPr>
        <w:spacing w:after="100" w:before="200"/>
        <w:jc w:val="center"/>
      </w:pPr>
      <w:r>
        <w:rPr>
          <w:rFonts w:ascii="Calibri" w:cs="Calibri" w:eastAsia="Calibri" w:hAnsi="Calibri"/>
          <w:b/>
          <w:bCs/>
          <w:color w:val="1A1A1A"/>
          <w:sz w:val="24"/>
          <w:szCs w:val="24"/>
        </w:rPr>
        <w:t xml:space="preserve">18-Tank Automatic Tank Cleaning (ATC) &amp; No-Man Entry (NME) Project</w:t>
      </w:r>
    </w:p>
    <w:p>
      <w:pPr>
        <w:spacing w:after="100" w:before="0"/>
        <w:jc w:val="center"/>
      </w:pPr>
      <w:r>
        <w:rPr>
          <w:rFonts w:ascii="Calibri" w:cs="Calibri" w:eastAsia="Calibri" w:hAnsi="Calibri"/>
          <w:color w:val="1A1A1A"/>
          <w:sz w:val="20"/>
          <w:szCs w:val="20"/>
        </w:rPr>
        <w:t xml:space="preserve">Contract/Tender Nos.: CW-68582 &amp; CW-515913 — applicable across SWDA's project portfolio</w:t>
      </w:r>
    </w:p>
    <w:p>
      <w:pPr>
        <w:spacing w:after="600" w:before="0"/>
        <w:jc w:val="center"/>
      </w:pPr>
      <w:r>
        <w:rPr>
          <w:rFonts w:ascii="Calibri" w:cs="Calibri" w:eastAsia="Calibri" w:hAnsi="Calibri"/>
          <w:color w:val="1A1A1A"/>
          <w:sz w:val="20"/>
          <w:szCs w:val="20"/>
        </w:rPr>
        <w:t xml:space="preserve">Client: Renaissance Africa Energy Company (RAEC)    |    Contractor: South West Design Africa Limited (SWDA)</w:t>
      </w:r>
    </w:p>
    <w:tbl>
      <w:tblPr>
        <w:tblW w:type="dxa" w:w="8500"/>
        <w:jc w:val="center"/>
        <w:tblBorders>
          <w:top w:val="single" w:color="auto" w:sz="4"/>
          <w:left w:val="single" w:color="auto" w:sz="4"/>
          <w:bottom w:val="single" w:color="auto" w:sz="4"/>
          <w:right w:val="single" w:color="auto" w:sz="4"/>
          <w:insideH w:val="single" w:color="auto" w:sz="4"/>
          <w:insideV w:val="single" w:color="auto" w:sz="4"/>
        </w:tblBorders>
      </w:tblPr>
      <w:tblGrid>
        <w:gridCol w:w="3000"/>
        <w:gridCol w:w="5500"/>
      </w:tblGrid>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Document No.</w:t>
            </w:r>
          </w:p>
        </w:tc>
        <w:tc>
          <w:tcPr>
            <w:tcW w:type="dxa" w:w="5500"/>
            <w:shd w:fill="FFFFFF"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RENAISSANCE-CW-68582 / SWDA-2026-RAEC-001-PPE</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Revision</w:t>
            </w:r>
          </w:p>
        </w:tc>
        <w:tc>
          <w:tcPr>
            <w:tcW w:type="dxa" w:w="5500"/>
            <w:shd w:fill="E8F2F1"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Rev. 0</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Issue Date</w:t>
            </w:r>
          </w:p>
        </w:tc>
        <w:tc>
          <w:tcPr>
            <w:tcW w:type="dxa" w:w="5500"/>
            <w:shd w:fill="FFFFFF"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05 August 2026</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Document Status</w:t>
            </w:r>
          </w:p>
        </w:tc>
        <w:tc>
          <w:tcPr>
            <w:tcW w:type="dxa" w:w="5500"/>
            <w:shd w:fill="E8F2F1"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Issued for Approval</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Classification</w:t>
            </w:r>
          </w:p>
        </w:tc>
        <w:tc>
          <w:tcPr>
            <w:tcW w:type="dxa" w:w="5500"/>
            <w:shd w:fill="FFFFFF"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Project Controlled Document – HSE / PPE</w:t>
            </w:r>
          </w:p>
        </w:tc>
      </w:tr>
    </w:tbl>
    <w:p>
      <w:pPr>
        <w:spacing w:before="800"/>
      </w:pPr>
      <w:r>
        <w:rPr>
          <w:rFonts w:ascii="Calibri" w:cs="Calibri" w:eastAsia="Calibri" w:hAnsi="Calibri"/>
          <w:color w:val="1A1A1A"/>
          <w:sz w:val="20"/>
          <w:szCs w:val="20"/>
        </w:rPr>
        <w:t xml:space="preserve"/>
      </w:r>
    </w:p>
    <w:p>
      <w:pPr>
        <w:spacing w:before="1800"/>
        <w:jc w:val="center"/>
      </w:pPr>
      <w:r>
        <w:rPr>
          <w:rFonts w:ascii="Calibri" w:cs="Calibri" w:eastAsia="Calibri" w:hAnsi="Calibri"/>
          <w:i/>
          <w:iCs/>
          <w:color w:val="1A1A1A"/>
          <w:sz w:val="18"/>
          <w:szCs w:val="18"/>
        </w:rPr>
        <w:t xml:space="preserve">Prepared by the SWDA Project QA/QC &amp; HSE Team</w:t>
      </w:r>
    </w:p>
    <w:p>
      <w:pPr>
        <w:spacing w:before="80"/>
        <w:jc w:val="center"/>
      </w:pPr>
      <w:r>
        <w:rPr>
          <w:rFonts w:ascii="Calibri" w:cs="Calibri" w:eastAsia="Calibri" w:hAnsi="Calibri"/>
          <w:i/>
          <w:iCs/>
          <w:color w:val="1A1A1A"/>
          <w:sz w:val="18"/>
          <w:szCs w:val="18"/>
        </w:rPr>
        <w:t xml:space="preserve">For Review and Approval by SWDA Executive Management and Renaissance Africa Energy Company (RAEC)</w:t>
      </w:r>
    </w:p>
    <w:p>
      <w:r>
        <w:br w:type="page"/>
      </w:r>
    </w:p>
    <w:p>
      <w:pPr>
        <w:sectPr>
          <w:headerReference w:type="default" r:id="rId7"/>
          <w:footerReference w:type="default" r:id="rId8"/>
          <w:pgSz w:w="12240" w:h="15840" w:orient="portrait"/>
          <w:pgMar w:top="1080" w:right="1080" w:bottom="1080" w:left="1080" w:header="708" w:footer="708" w:gutter="0"/>
          <w:pgNumType/>
          <w:docGrid w:linePitch="360"/>
        </w:sectPr>
      </w:pPr>
    </w:p>
    <w:p>
      <w:pPr>
        <w:pStyle w:val="Heading1"/>
        <w:pBdr>
          <w:bottom w:val="single" w:color="0F6C6C" w:sz="8" w:space="4"/>
        </w:pBdr>
        <w:spacing w:after="160" w:before="360"/>
      </w:pPr>
      <w:r>
        <w:rPr>
          <w:rFonts w:ascii="Calibri" w:cs="Calibri" w:eastAsia="Calibri" w:hAnsi="Calibri"/>
          <w:b/>
          <w:bCs/>
          <w:color w:val="1B2A4A"/>
          <w:sz w:val="28"/>
          <w:szCs w:val="28"/>
        </w:rPr>
        <w:t xml:space="preserve">0.0  Document Control</w:t>
      </w:r>
    </w:p>
    <w:p>
      <w:pPr>
        <w:pStyle w:val="Heading2"/>
        <w:spacing w:after="120" w:before="280"/>
      </w:pPr>
      <w:r>
        <w:rPr>
          <w:rFonts w:ascii="Calibri" w:cs="Calibri" w:eastAsia="Calibri" w:hAnsi="Calibri"/>
          <w:b/>
          <w:bCs/>
          <w:color w:val="0F6C6C"/>
          <w:sz w:val="24"/>
          <w:szCs w:val="24"/>
        </w:rPr>
        <w:t xml:space="preserve">0.1  Revision History</w:t>
      </w:r>
    </w:p>
    <w:tbl>
      <w:tblPr>
        <w:tblW w:type="dxa" w:w="11100"/>
        <w:tblBorders>
          <w:top w:val="single" w:color="auto" w:sz="4"/>
          <w:left w:val="single" w:color="auto" w:sz="4"/>
          <w:bottom w:val="single" w:color="auto" w:sz="4"/>
          <w:right w:val="single" w:color="auto" w:sz="4"/>
          <w:insideH w:val="single" w:color="auto" w:sz="4"/>
          <w:insideV w:val="single" w:color="auto" w:sz="4"/>
        </w:tblBorders>
      </w:tblPr>
      <w:tblGrid>
        <w:gridCol w:w="1400"/>
        <w:gridCol w:w="3400"/>
        <w:gridCol w:w="2400"/>
        <w:gridCol w:w="2200"/>
        <w:gridCol w:w="1700"/>
      </w:tblGrid>
      <w:tr>
        <w:tc>
          <w:tcPr>
            <w:tcW w:type="dxa" w:w="1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Revision No</w:t>
            </w:r>
          </w:p>
        </w:tc>
        <w:tc>
          <w:tcPr>
            <w:tcW w:type="dxa" w:w="3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Description</w:t>
            </w:r>
          </w:p>
        </w:tc>
        <w:tc>
          <w:tcPr>
            <w:tcW w:type="dxa" w:w="2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Prepared By</w:t>
            </w:r>
          </w:p>
        </w:tc>
        <w:tc>
          <w:tcPr>
            <w:tcW w:type="dxa" w:w="22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Reviewed / Approved By</w:t>
            </w:r>
          </w:p>
        </w:tc>
        <w:tc>
          <w:tcPr>
            <w:tcW w:type="dxa" w:w="17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Signature &amp; Date</w:t>
            </w:r>
          </w:p>
        </w:tc>
      </w:tr>
      <w:tr>
        <w:tc>
          <w:tcPr>
            <w:tcW w:type="dxa" w:w="1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6"/>
                <w:szCs w:val="16"/>
              </w:rPr>
              <w:t xml:space="preserve">0</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6"/>
                <w:szCs w:val="16"/>
              </w:rPr>
              <w:t xml:space="preserve">Issued for Approval – SWDA Personal Protective Equipment (PPE) Procedure covering hierarchy of controls, PPE selection matrix, issuance/inspection/maintenance and fit testing</w:t>
            </w:r>
          </w:p>
        </w:tc>
        <w:tc>
          <w:tcPr>
            <w:tcW w:type="dxa" w:w="2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6"/>
                <w:szCs w:val="16"/>
              </w:rPr>
              <w:t xml:space="preserve">SWDA QA/QC &amp; HSE Team</w:t>
            </w:r>
          </w:p>
        </w:tc>
        <w:tc>
          <w:tcPr>
            <w:tcW w:type="dxa" w:w="22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6"/>
                <w:szCs w:val="16"/>
              </w:rPr>
              <w:t xml:space="preserve">Engr. Norton Ned Jessup, P.E.</w:t>
            </w:r>
          </w:p>
        </w:tc>
        <w:tc>
          <w:tcPr>
            <w:tcW w:type="dxa" w:w="1700"/>
            <w:tcBorders>
              <w:top w:val="dashed" w:color="9AA5B1" w:sz="6"/>
              <w:left w:val="dashed" w:color="9AA5B1" w:sz="6"/>
              <w:bottom w:val="dashed" w:color="9AA5B1" w:sz="6"/>
              <w:right w:val="dashed" w:color="9AA5B1" w:sz="6"/>
            </w:tcBorders>
            <w:shd w:fill="FFFFFF" w:val="clear"/>
            <w:tcMar>
              <w:top w:type="dxa" w:w="80"/>
              <w:left w:type="dxa" w:w="100"/>
              <w:bottom w:type="dxa" w:w="80"/>
              <w:right w:type="dxa" w:w="100"/>
            </w:tcMar>
            <w:vAlign w:val="center"/>
          </w:tcPr>
          <w:p>
            <w:pPr>
              <w:spacing w:after="30"/>
              <w:jc w:val="center"/>
            </w:pPr>
            <w:r>
              <w:rPr>
                <w:rFonts w:ascii="Calibri" w:cs="Calibri" w:eastAsia="Calibri" w:hAnsi="Calibri"/>
                <w:i/>
                <w:iCs/>
                <w:color w:val="8A94A3"/>
                <w:sz w:val="14"/>
                <w:szCs w:val="14"/>
              </w:rPr>
              <w:t xml:space="preserve">[Signature]</w:t>
            </w:r>
          </w:p>
          <w:p>
            <w:pPr>
              <w:spacing w:after="0"/>
              <w:jc w:val="center"/>
            </w:pPr>
            <w:r>
              <w:rPr>
                <w:rFonts w:ascii="Calibri" w:cs="Calibri" w:eastAsia="Calibri" w:hAnsi="Calibri"/>
                <w:i/>
                <w:iCs/>
                <w:color w:val="8A94A3"/>
                <w:sz w:val="14"/>
                <w:szCs w:val="14"/>
              </w:rPr>
              <w:t xml:space="preserve">[Date]</w:t>
            </w:r>
          </w:p>
        </w:tc>
      </w:tr>
    </w:tbl>
    <w:p>
      <w:pPr>
        <w:spacing w:after="200" w:before="300"/>
      </w:pPr>
      <w:r>
        <w:rPr>
          <w:rFonts w:ascii="Calibri" w:cs="Calibri" w:eastAsia="Calibri" w:hAnsi="Calibri"/>
          <w:color w:val="1A1A1A"/>
          <w:sz w:val="20"/>
          <w:szCs w:val="20"/>
        </w:rPr>
        <w:t xml:space="preserve"/>
      </w:r>
    </w:p>
    <w:p>
      <w:pPr>
        <w:pStyle w:val="Heading2"/>
        <w:spacing w:after="120" w:before="280"/>
      </w:pPr>
      <w:r>
        <w:rPr>
          <w:rFonts w:ascii="Calibri" w:cs="Calibri" w:eastAsia="Calibri" w:hAnsi="Calibri"/>
          <w:b/>
          <w:bCs/>
          <w:color w:val="0F6C6C"/>
          <w:sz w:val="24"/>
          <w:szCs w:val="24"/>
        </w:rPr>
        <w:t xml:space="preserve">0.2  Approval</w:t>
      </w:r>
    </w:p>
    <w:tbl>
      <w:tblPr>
        <w:tblW w:type="dxa" w:w="11100"/>
        <w:tblBorders>
          <w:top w:val="single" w:color="auto" w:sz="4"/>
          <w:left w:val="single" w:color="auto" w:sz="4"/>
          <w:bottom w:val="single" w:color="auto" w:sz="4"/>
          <w:right w:val="single" w:color="auto" w:sz="4"/>
          <w:insideH w:val="single" w:color="auto" w:sz="4"/>
          <w:insideV w:val="single" w:color="auto" w:sz="4"/>
        </w:tblBorders>
      </w:tblPr>
      <w:tblGrid>
        <w:gridCol w:w="3100"/>
        <w:gridCol w:w="3100"/>
        <w:gridCol w:w="3100"/>
        <w:gridCol w:w="1800"/>
      </w:tblGrid>
      <w:tr>
        <w:tc>
          <w:tcPr>
            <w:tcW w:type="dxa" w:w="31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Originated By</w:t>
            </w:r>
          </w:p>
        </w:tc>
        <w:tc>
          <w:tcPr>
            <w:tcW w:type="dxa" w:w="31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Checked By</w:t>
            </w:r>
          </w:p>
        </w:tc>
        <w:tc>
          <w:tcPr>
            <w:tcW w:type="dxa" w:w="31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Approved By</w:t>
            </w:r>
          </w:p>
        </w:tc>
        <w:tc>
          <w:tcPr>
            <w:tcW w:type="dxa" w:w="18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Signature</w:t>
            </w:r>
          </w:p>
        </w:tc>
      </w:tr>
      <w:tr>
        <w:tc>
          <w:tcPr>
            <w:tcW w:type="dxa" w:w="3100"/>
            <w:shd w:fill="FFFFFF" w:val="clear"/>
            <w:tcMar>
              <w:top w:type="dxa" w:w="700"/>
              <w:left w:type="dxa" w:w="120"/>
              <w:bottom w:type="dxa" w:w="200"/>
              <w:right w:type="dxa" w:w="120"/>
            </w:tcMar>
            <w:vAlign w:val="center"/>
          </w:tcPr>
          <w:p>
            <w:pPr>
              <w:spacing w:after="40"/>
              <w:jc w:val="center"/>
            </w:pPr>
            <w:r>
              <w:rPr>
                <w:rFonts w:ascii="Calibri" w:cs="Calibri" w:eastAsia="Calibri" w:hAnsi="Calibri"/>
                <w:b/>
                <w:bCs/>
                <w:i w:val="false"/>
                <w:iCs w:val="false"/>
                <w:color w:val="1B2A4A"/>
                <w:sz w:val="18"/>
                <w:szCs w:val="18"/>
              </w:rPr>
              <w:t xml:space="preserve">Engr. Norton Ned Jessup, P.E.</w:t>
            </w:r>
          </w:p>
          <w:p>
            <w:pPr>
              <w:spacing w:after="40"/>
              <w:jc w:val="center"/>
            </w:pPr>
            <w:r>
              <w:rPr>
                <w:rFonts w:ascii="Calibri" w:cs="Calibri" w:eastAsia="Calibri" w:hAnsi="Calibri"/>
                <w:b w:val="false"/>
                <w:bCs w:val="false"/>
                <w:i/>
                <w:iCs/>
                <w:color w:val="1A1A1A"/>
                <w:sz w:val="15"/>
                <w:szCs w:val="15"/>
              </w:rPr>
              <w:t xml:space="preserve">Chief Operating Officer / Executive Director &amp; Project Director</w:t>
            </w:r>
          </w:p>
        </w:tc>
        <w:tc>
          <w:tcPr>
            <w:tcW w:type="dxa" w:w="3100"/>
            <w:shd w:fill="FFFFFF" w:val="clear"/>
            <w:tcMar>
              <w:top w:type="dxa" w:w="700"/>
              <w:left w:type="dxa" w:w="120"/>
              <w:bottom w:type="dxa" w:w="200"/>
              <w:right w:type="dxa" w:w="120"/>
            </w:tcMar>
            <w:vAlign w:val="center"/>
          </w:tcPr>
          <w:p>
            <w:pPr>
              <w:spacing w:after="40"/>
              <w:jc w:val="center"/>
            </w:pPr>
            <w:r>
              <w:rPr>
                <w:rFonts w:ascii="Calibri" w:cs="Calibri" w:eastAsia="Calibri" w:hAnsi="Calibri"/>
                <w:b/>
                <w:bCs/>
                <w:i w:val="false"/>
                <w:iCs w:val="false"/>
                <w:color w:val="1B2A4A"/>
                <w:sz w:val="18"/>
                <w:szCs w:val="18"/>
              </w:rPr>
              <w:t xml:space="preserve">WT/MI</w:t>
            </w:r>
          </w:p>
          <w:p>
            <w:pPr>
              <w:spacing w:after="40"/>
              <w:jc w:val="center"/>
            </w:pPr>
            <w:r>
              <w:rPr>
                <w:rFonts w:ascii="Calibri" w:cs="Calibri" w:eastAsia="Calibri" w:hAnsi="Calibri"/>
                <w:b w:val="false"/>
                <w:bCs w:val="false"/>
                <w:i/>
                <w:iCs/>
                <w:color w:val="1A1A1A"/>
                <w:sz w:val="15"/>
                <w:szCs w:val="15"/>
              </w:rPr>
              <w:t xml:space="preserve">Checker</w:t>
            </w:r>
          </w:p>
        </w:tc>
        <w:tc>
          <w:tcPr>
            <w:tcW w:type="dxa" w:w="3100"/>
            <w:shd w:fill="FFFFFF" w:val="clear"/>
            <w:tcMar>
              <w:top w:type="dxa" w:w="700"/>
              <w:left w:type="dxa" w:w="120"/>
              <w:bottom w:type="dxa" w:w="200"/>
              <w:right w:type="dxa" w:w="120"/>
            </w:tcMar>
            <w:vAlign w:val="center"/>
          </w:tcPr>
          <w:p>
            <w:pPr>
              <w:spacing w:after="40"/>
              <w:jc w:val="center"/>
            </w:pPr>
            <w:r>
              <w:rPr>
                <w:rFonts w:ascii="Calibri" w:cs="Calibri" w:eastAsia="Calibri" w:hAnsi="Calibri"/>
                <w:b/>
                <w:bCs/>
                <w:i w:val="false"/>
                <w:iCs w:val="false"/>
                <w:color w:val="1B2A4A"/>
                <w:sz w:val="18"/>
                <w:szCs w:val="18"/>
              </w:rPr>
              <w:t xml:space="preserve">Gliffeth Wonuigwe</w:t>
            </w:r>
          </w:p>
          <w:p>
            <w:pPr>
              <w:spacing w:after="40"/>
              <w:jc w:val="center"/>
            </w:pPr>
            <w:r>
              <w:rPr>
                <w:rFonts w:ascii="Calibri" w:cs="Calibri" w:eastAsia="Calibri" w:hAnsi="Calibri"/>
                <w:b w:val="false"/>
                <w:bCs w:val="false"/>
                <w:i/>
                <w:iCs/>
                <w:color w:val="1A1A1A"/>
                <w:sz w:val="15"/>
                <w:szCs w:val="15"/>
              </w:rPr>
              <w:t xml:space="preserve">Group Chief Executive Officer / Managing Director</w:t>
            </w:r>
          </w:p>
        </w:tc>
        <w:tc>
          <w:tcPr>
            <w:tcW w:type="dxa" w:w="1800"/>
            <w:tcBorders>
              <w:top w:val="dashed" w:color="9AA5B1" w:sz="6"/>
              <w:left w:val="dashed" w:color="9AA5B1" w:sz="6"/>
              <w:bottom w:val="dashed" w:color="9AA5B1" w:sz="6"/>
              <w:right w:val="dashed" w:color="9AA5B1" w:sz="6"/>
            </w:tcBorders>
            <w:shd w:fill="FFFFFF" w:val="clear"/>
            <w:tcMar>
              <w:top w:type="dxa" w:w="700"/>
              <w:left w:type="dxa" w:w="120"/>
              <w:bottom w:type="dxa" w:w="200"/>
              <w:right w:type="dxa" w:w="120"/>
            </w:tcMar>
            <w:vAlign w:val="center"/>
          </w:tcPr>
          <w:p>
            <w:pPr>
              <w:spacing w:after="30"/>
              <w:jc w:val="center"/>
            </w:pPr>
            <w:r>
              <w:rPr>
                <w:rFonts w:ascii="Calibri" w:cs="Calibri" w:eastAsia="Calibri" w:hAnsi="Calibri"/>
                <w:i/>
                <w:iCs/>
                <w:color w:val="8A94A3"/>
                <w:sz w:val="15"/>
                <w:szCs w:val="15"/>
              </w:rPr>
              <w:t xml:space="preserve">[Insert Signature]</w:t>
            </w:r>
          </w:p>
          <w:p>
            <w:pPr>
              <w:spacing w:after="0"/>
              <w:jc w:val="center"/>
            </w:pPr>
            <w:r>
              <w:rPr>
                <w:rFonts w:ascii="Calibri" w:cs="Calibri" w:eastAsia="Calibri" w:hAnsi="Calibri"/>
                <w:i/>
                <w:iCs/>
                <w:color w:val="8A94A3"/>
                <w:sz w:val="15"/>
                <w:szCs w:val="15"/>
              </w:rPr>
              <w:t xml:space="preserve">Date: __________</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Table of Contents</w:t>
      </w:r>
    </w:p>
    <w:p>
      <w:pPr>
        <w:tabs>
          <w:tab w:val="right" w:pos="9026" w:leader="dot"/>
        </w:tabs>
        <w:spacing w:after="130"/>
      </w:pPr>
      <w:r>
        <w:rPr>
          <w:rFonts w:ascii="Calibri" w:cs="Calibri" w:eastAsia="Calibri" w:hAnsi="Calibri"/>
          <w:color w:val="1A1A1A"/>
          <w:sz w:val="21"/>
          <w:szCs w:val="21"/>
        </w:rPr>
        <w:t xml:space="preserve">0.0  Document Control</w:t>
      </w:r>
      <w:r>
        <w:rPr>
          <w:rFonts w:ascii="Calibri" w:cs="Calibri" w:eastAsia="Calibri" w:hAnsi="Calibri"/>
          <w:color w:val="1A1A1A"/>
          <w:sz w:val="21"/>
          <w:szCs w:val="21"/>
        </w:rPr>
        <w:t xml:space="preserve">	2</w:t>
      </w:r>
    </w:p>
    <w:p>
      <w:pPr>
        <w:tabs>
          <w:tab w:val="right" w:pos="9026" w:leader="dot"/>
        </w:tabs>
        <w:spacing w:after="130"/>
      </w:pPr>
      <w:r>
        <w:rPr>
          <w:rFonts w:ascii="Calibri" w:cs="Calibri" w:eastAsia="Calibri" w:hAnsi="Calibri"/>
          <w:color w:val="1A1A1A"/>
          <w:sz w:val="21"/>
          <w:szCs w:val="21"/>
        </w:rPr>
        <w:t xml:space="preserve">1.0  Introduction &amp; Purpose</w:t>
      </w:r>
      <w:r>
        <w:rPr>
          <w:rFonts w:ascii="Calibri" w:cs="Calibri" w:eastAsia="Calibri" w:hAnsi="Calibri"/>
          <w:color w:val="1A1A1A"/>
          <w:sz w:val="21"/>
          <w:szCs w:val="21"/>
        </w:rPr>
        <w:t xml:space="preserve">	4</w:t>
      </w:r>
    </w:p>
    <w:p>
      <w:pPr>
        <w:tabs>
          <w:tab w:val="right" w:pos="9026" w:leader="dot"/>
        </w:tabs>
        <w:spacing w:after="130"/>
      </w:pPr>
      <w:r>
        <w:rPr>
          <w:rFonts w:ascii="Calibri" w:cs="Calibri" w:eastAsia="Calibri" w:hAnsi="Calibri"/>
          <w:color w:val="1A1A1A"/>
          <w:sz w:val="21"/>
          <w:szCs w:val="21"/>
        </w:rPr>
        <w:t xml:space="preserve">2.0  Scope &amp; Applicability</w:t>
      </w:r>
      <w:r>
        <w:rPr>
          <w:rFonts w:ascii="Calibri" w:cs="Calibri" w:eastAsia="Calibri" w:hAnsi="Calibri"/>
          <w:color w:val="1A1A1A"/>
          <w:sz w:val="21"/>
          <w:szCs w:val="21"/>
        </w:rPr>
        <w:t xml:space="preserve">	4</w:t>
      </w:r>
    </w:p>
    <w:p>
      <w:pPr>
        <w:tabs>
          <w:tab w:val="right" w:pos="9026" w:leader="dot"/>
        </w:tabs>
        <w:spacing w:after="130"/>
      </w:pPr>
      <w:r>
        <w:rPr>
          <w:rFonts w:ascii="Calibri" w:cs="Calibri" w:eastAsia="Calibri" w:hAnsi="Calibri"/>
          <w:color w:val="1A1A1A"/>
          <w:sz w:val="21"/>
          <w:szCs w:val="21"/>
        </w:rPr>
        <w:t xml:space="preserve">3.0  Hierarchy of Controls</w:t>
      </w:r>
      <w:r>
        <w:rPr>
          <w:rFonts w:ascii="Calibri" w:cs="Calibri" w:eastAsia="Calibri" w:hAnsi="Calibri"/>
          <w:color w:val="1A1A1A"/>
          <w:sz w:val="21"/>
          <w:szCs w:val="21"/>
        </w:rPr>
        <w:t xml:space="preserve">	4</w:t>
      </w:r>
    </w:p>
    <w:p>
      <w:pPr>
        <w:tabs>
          <w:tab w:val="right" w:pos="9026" w:leader="dot"/>
        </w:tabs>
        <w:spacing w:after="130"/>
      </w:pPr>
      <w:r>
        <w:rPr>
          <w:rFonts w:ascii="Calibri" w:cs="Calibri" w:eastAsia="Calibri" w:hAnsi="Calibri"/>
          <w:color w:val="1A1A1A"/>
          <w:sz w:val="21"/>
          <w:szCs w:val="21"/>
        </w:rPr>
        <w:t xml:space="preserve">4.0  PPE Hazard Assessment &amp; Certification</w:t>
      </w:r>
      <w:r>
        <w:rPr>
          <w:rFonts w:ascii="Calibri" w:cs="Calibri" w:eastAsia="Calibri" w:hAnsi="Calibri"/>
          <w:color w:val="1A1A1A"/>
          <w:sz w:val="21"/>
          <w:szCs w:val="21"/>
        </w:rPr>
        <w:t xml:space="preserve">	4</w:t>
      </w:r>
    </w:p>
    <w:p>
      <w:pPr>
        <w:tabs>
          <w:tab w:val="right" w:pos="9026" w:leader="dot"/>
        </w:tabs>
        <w:spacing w:after="130"/>
      </w:pPr>
      <w:r>
        <w:rPr>
          <w:rFonts w:ascii="Calibri" w:cs="Calibri" w:eastAsia="Calibri" w:hAnsi="Calibri"/>
          <w:color w:val="1A1A1A"/>
          <w:sz w:val="21"/>
          <w:szCs w:val="21"/>
        </w:rPr>
        <w:t xml:space="preserve">5.0  PPE Selection Matrix</w:t>
      </w:r>
      <w:r>
        <w:rPr>
          <w:rFonts w:ascii="Calibri" w:cs="Calibri" w:eastAsia="Calibri" w:hAnsi="Calibri"/>
          <w:color w:val="1A1A1A"/>
          <w:sz w:val="21"/>
          <w:szCs w:val="21"/>
        </w:rPr>
        <w:t xml:space="preserve">	6</w:t>
      </w:r>
    </w:p>
    <w:p>
      <w:pPr>
        <w:tabs>
          <w:tab w:val="right" w:pos="9026" w:leader="dot"/>
        </w:tabs>
        <w:spacing w:after="130"/>
      </w:pPr>
      <w:r>
        <w:rPr>
          <w:rFonts w:ascii="Calibri" w:cs="Calibri" w:eastAsia="Calibri" w:hAnsi="Calibri"/>
          <w:color w:val="1A1A1A"/>
          <w:sz w:val="21"/>
          <w:szCs w:val="21"/>
        </w:rPr>
        <w:t xml:space="preserve">6.0  PPE &amp; Consumables Inventory</w:t>
      </w:r>
      <w:r>
        <w:rPr>
          <w:rFonts w:ascii="Calibri" w:cs="Calibri" w:eastAsia="Calibri" w:hAnsi="Calibri"/>
          <w:color w:val="1A1A1A"/>
          <w:sz w:val="21"/>
          <w:szCs w:val="21"/>
        </w:rPr>
        <w:t xml:space="preserve">	7</w:t>
      </w:r>
    </w:p>
    <w:p>
      <w:pPr>
        <w:tabs>
          <w:tab w:val="right" w:pos="9026" w:leader="dot"/>
        </w:tabs>
        <w:spacing w:after="130"/>
      </w:pPr>
      <w:r>
        <w:rPr>
          <w:rFonts w:ascii="Calibri" w:cs="Calibri" w:eastAsia="Calibri" w:hAnsi="Calibri"/>
          <w:color w:val="1A1A1A"/>
          <w:sz w:val="21"/>
          <w:szCs w:val="21"/>
        </w:rPr>
        <w:t xml:space="preserve">7.0  Issuance, Inspection, Maintenance &amp; Replacement</w:t>
      </w:r>
      <w:r>
        <w:rPr>
          <w:rFonts w:ascii="Calibri" w:cs="Calibri" w:eastAsia="Calibri" w:hAnsi="Calibri"/>
          <w:color w:val="1A1A1A"/>
          <w:sz w:val="21"/>
          <w:szCs w:val="21"/>
        </w:rPr>
        <w:t xml:space="preserve">	8</w:t>
      </w:r>
    </w:p>
    <w:p>
      <w:pPr>
        <w:tabs>
          <w:tab w:val="right" w:pos="9026" w:leader="dot"/>
        </w:tabs>
        <w:spacing w:after="130"/>
      </w:pPr>
      <w:r>
        <w:rPr>
          <w:rFonts w:ascii="Calibri" w:cs="Calibri" w:eastAsia="Calibri" w:hAnsi="Calibri"/>
          <w:color w:val="1A1A1A"/>
          <w:sz w:val="21"/>
          <w:szCs w:val="21"/>
        </w:rPr>
        <w:t xml:space="preserve">8.0  Training &amp; Fit Testing</w:t>
      </w:r>
      <w:r>
        <w:rPr>
          <w:rFonts w:ascii="Calibri" w:cs="Calibri" w:eastAsia="Calibri" w:hAnsi="Calibri"/>
          <w:color w:val="1A1A1A"/>
          <w:sz w:val="21"/>
          <w:szCs w:val="21"/>
        </w:rPr>
        <w:t xml:space="preserve">	8</w:t>
      </w:r>
    </w:p>
    <w:p>
      <w:pPr>
        <w:tabs>
          <w:tab w:val="right" w:pos="9026" w:leader="dot"/>
        </w:tabs>
        <w:spacing w:after="130"/>
      </w:pPr>
      <w:r>
        <w:rPr>
          <w:rFonts w:ascii="Calibri" w:cs="Calibri" w:eastAsia="Calibri" w:hAnsi="Calibri"/>
          <w:color w:val="1A1A1A"/>
          <w:sz w:val="21"/>
          <w:szCs w:val="21"/>
        </w:rPr>
        <w:t xml:space="preserve">9.0  Roles &amp; Responsibilities</w:t>
      </w:r>
      <w:r>
        <w:rPr>
          <w:rFonts w:ascii="Calibri" w:cs="Calibri" w:eastAsia="Calibri" w:hAnsi="Calibri"/>
          <w:color w:val="1A1A1A"/>
          <w:sz w:val="21"/>
          <w:szCs w:val="21"/>
        </w:rPr>
        <w:t xml:space="preserve">	9</w:t>
      </w:r>
    </w:p>
    <w:p>
      <w:pPr>
        <w:tabs>
          <w:tab w:val="right" w:pos="9026" w:leader="dot"/>
        </w:tabs>
        <w:spacing w:after="130"/>
      </w:pPr>
      <w:r>
        <w:rPr>
          <w:rFonts w:ascii="Calibri" w:cs="Calibri" w:eastAsia="Calibri" w:hAnsi="Calibri"/>
          <w:color w:val="1A1A1A"/>
          <w:sz w:val="21"/>
          <w:szCs w:val="21"/>
        </w:rPr>
        <w:t xml:space="preserve">10.0  Records</w:t>
      </w:r>
      <w:r>
        <w:rPr>
          <w:rFonts w:ascii="Calibri" w:cs="Calibri" w:eastAsia="Calibri" w:hAnsi="Calibri"/>
          <w:color w:val="1A1A1A"/>
          <w:sz w:val="21"/>
          <w:szCs w:val="21"/>
        </w:rPr>
        <w:t xml:space="preserve">	9</w:t>
      </w:r>
    </w:p>
    <w:p>
      <w:pPr>
        <w:tabs>
          <w:tab w:val="right" w:pos="9026" w:leader="dot"/>
        </w:tabs>
        <w:spacing w:after="130"/>
      </w:pPr>
      <w:r>
        <w:rPr>
          <w:rFonts w:ascii="Calibri" w:cs="Calibri" w:eastAsia="Calibri" w:hAnsi="Calibri"/>
          <w:color w:val="1A1A1A"/>
          <w:sz w:val="21"/>
          <w:szCs w:val="21"/>
        </w:rPr>
        <w:t xml:space="preserve">11.0  Approval</w:t>
      </w:r>
      <w:r>
        <w:rPr>
          <w:rFonts w:ascii="Calibri" w:cs="Calibri" w:eastAsia="Calibri" w:hAnsi="Calibri"/>
          <w:color w:val="1A1A1A"/>
          <w:sz w:val="21"/>
          <w:szCs w:val="21"/>
        </w:rPr>
        <w:t xml:space="preserve">	10</w:t>
      </w:r>
    </w:p>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1.0  Introduction &amp; Purpose</w:t>
      </w:r>
    </w:p>
    <w:p>
      <w:pPr>
        <w:spacing w:after="120"/>
      </w:pPr>
      <w:r>
        <w:rPr>
          <w:rFonts w:ascii="Calibri" w:cs="Calibri" w:eastAsia="Calibri" w:hAnsi="Calibri"/>
          <w:color w:val="1A1A1A"/>
          <w:sz w:val="20"/>
          <w:szCs w:val="20"/>
        </w:rPr>
        <w:t xml:space="preserve">This procedure establishes South West Design Africa Limited's (SWDA) requirements for the selection, provision, use, inspection, maintenance and replacement of Personal Protective Equipment (PPE) across SWDA's operations, including the Renaissance 18-Tank Automatic Tank Cleaning (ATC) and No-Man Entry (NME) Project (Contract/Tender Nos. CW-68582 and CW-515913).</w:t>
      </w:r>
    </w:p>
    <w:p>
      <w:pPr>
        <w:spacing w:after="120"/>
      </w:pPr>
      <w:r>
        <w:rPr>
          <w:rFonts w:ascii="Calibri" w:cs="Calibri" w:eastAsia="Calibri" w:hAnsi="Calibri"/>
          <w:color w:val="1A1A1A"/>
          <w:sz w:val="20"/>
          <w:szCs w:val="20"/>
        </w:rPr>
        <w:t xml:space="preserve">PPE is the last line of defence in SWDA's hazard control hierarchy. This procedure ensures PPE is only relied upon where hazards cannot be eliminated or adequately controlled through engineering or administrative controls, and that the PPE selected is appropriate to the specific hazard, properly fitted, maintained, and used correctly.</w:t>
      </w:r>
    </w:p>
    <w:p>
      <w:pPr>
        <w:pStyle w:val="Heading1"/>
        <w:pBdr>
          <w:bottom w:val="single" w:color="0F6C6C" w:sz="8" w:space="4"/>
        </w:pBdr>
        <w:spacing w:after="160" w:before="360"/>
      </w:pPr>
      <w:r>
        <w:rPr>
          <w:rFonts w:ascii="Calibri" w:cs="Calibri" w:eastAsia="Calibri" w:hAnsi="Calibri"/>
          <w:b/>
          <w:bCs/>
          <w:color w:val="1B2A4A"/>
          <w:sz w:val="28"/>
          <w:szCs w:val="28"/>
        </w:rPr>
        <w:t xml:space="preserve">2.0  Scope &amp; Applicability</w:t>
      </w:r>
    </w:p>
    <w:p>
      <w:pPr>
        <w:spacing w:after="120"/>
      </w:pPr>
      <w:r>
        <w:rPr>
          <w:rFonts w:ascii="Calibri" w:cs="Calibri" w:eastAsia="Calibri" w:hAnsi="Calibri"/>
          <w:color w:val="1A1A1A"/>
          <w:sz w:val="20"/>
          <w:szCs w:val="20"/>
        </w:rPr>
        <w:t xml:space="preserve">This procedure applies to all SWDA personnel, subcontractors and visitors present on any active SWDA worksite, and covers all categories of PPE issued for tank cleaning, confined space entry, hot work, chemical handling, and general site activities.</w:t>
      </w:r>
    </w:p>
    <w:p>
      <w:pPr>
        <w:spacing w:after="120"/>
      </w:pPr>
      <w:r>
        <w:rPr>
          <w:rFonts w:ascii="Calibri" w:cs="Calibri" w:eastAsia="Calibri" w:hAnsi="Calibri"/>
          <w:color w:val="1A1A1A"/>
          <w:sz w:val="20"/>
          <w:szCs w:val="20"/>
        </w:rPr>
        <w:t xml:space="preserve">This procedure interfaces with the Site-Specific HSE Plan (SSHSEP) PPE matrix, the Confined Space Entry (CSE) Procedure, the Permit to Work (PTW) System, and the Training Plan &amp; Competency Matrix (respirator fit testing and PPE-related competency).</w:t>
      </w:r>
    </w:p>
    <w:p>
      <w:pPr>
        <w:pStyle w:val="Heading1"/>
        <w:pBdr>
          <w:bottom w:val="single" w:color="0F6C6C" w:sz="8" w:space="4"/>
        </w:pBdr>
        <w:spacing w:after="160" w:before="360"/>
      </w:pPr>
      <w:r>
        <w:rPr>
          <w:rFonts w:ascii="Calibri" w:cs="Calibri" w:eastAsia="Calibri" w:hAnsi="Calibri"/>
          <w:b/>
          <w:bCs/>
          <w:color w:val="1B2A4A"/>
          <w:sz w:val="28"/>
          <w:szCs w:val="28"/>
        </w:rPr>
        <w:t xml:space="preserve">3.0  Hierarchy of Controls</w:t>
      </w:r>
    </w:p>
    <w:p>
      <w:pPr>
        <w:spacing w:after="120"/>
      </w:pPr>
      <w:r>
        <w:rPr>
          <w:rFonts w:ascii="Calibri" w:cs="Calibri" w:eastAsia="Calibri" w:hAnsi="Calibri"/>
          <w:color w:val="1A1A1A"/>
          <w:sz w:val="20"/>
          <w:szCs w:val="20"/>
        </w:rPr>
        <w:t xml:space="preserve">SWDA applies a strict hierarchy when addressing an existing or potential hazard to workers. If reasonably practicable, SWDA eliminates or controls a hazard through engineering controls. If a hazard cannot be adequately controlled using engineering controls, SWDA uses administrative controls to reduce the hazard to a level as low as reasonably achievable. Only if the hazard cannot be adequately controlled using engineering and/or administrative controls does SWDA rely on Personal Protective Equipment (PPE) to protect workers affected by the hazard. A combination of engineering controls, administrative controls and PPE may be used together where this provides a greater level of worker safety.</w:t>
      </w:r>
    </w:p>
    <w:p>
      <w:pPr>
        <w:pStyle w:val="ListParagraph"/>
        <w:numPr>
          <w:ilvl w:val="0"/>
          <w:numId w:val="2"/>
        </w:numPr>
        <w:spacing w:after="80"/>
      </w:pPr>
      <w:r>
        <w:rPr>
          <w:rFonts w:ascii="Calibri" w:cs="Calibri" w:eastAsia="Calibri" w:hAnsi="Calibri"/>
          <w:color w:val="1A1A1A"/>
          <w:sz w:val="20"/>
          <w:szCs w:val="20"/>
        </w:rPr>
        <w:t xml:space="preserve">Elimination – remove the hazard entirely from the task or worksite, where practicable.</w:t>
      </w:r>
    </w:p>
    <w:p>
      <w:pPr>
        <w:pStyle w:val="ListParagraph"/>
        <w:numPr>
          <w:ilvl w:val="0"/>
          <w:numId w:val="2"/>
        </w:numPr>
        <w:spacing w:after="80"/>
      </w:pPr>
      <w:r>
        <w:rPr>
          <w:rFonts w:ascii="Calibri" w:cs="Calibri" w:eastAsia="Calibri" w:hAnsi="Calibri"/>
          <w:color w:val="1A1A1A"/>
          <w:sz w:val="20"/>
          <w:szCs w:val="20"/>
        </w:rPr>
        <w:t xml:space="preserve">Engineering Controls – isolate people from the hazard (e.g. remote/automated tank cleaning via the ATC/NME system, ventilation, guarding, ATEX-rated equipment).</w:t>
      </w:r>
    </w:p>
    <w:p>
      <w:pPr>
        <w:pStyle w:val="ListParagraph"/>
        <w:numPr>
          <w:ilvl w:val="0"/>
          <w:numId w:val="2"/>
        </w:numPr>
        <w:spacing w:after="80"/>
      </w:pPr>
      <w:r>
        <w:rPr>
          <w:rFonts w:ascii="Calibri" w:cs="Calibri" w:eastAsia="Calibri" w:hAnsi="Calibri"/>
          <w:color w:val="1A1A1A"/>
          <w:sz w:val="20"/>
          <w:szCs w:val="20"/>
        </w:rPr>
        <w:t xml:space="preserve">Administrative Controls – change the way people work (e.g. Permit to Work, toolbox talks, signage, work scheduling, training, safe systems of work).</w:t>
      </w:r>
    </w:p>
    <w:p>
      <w:pPr>
        <w:pStyle w:val="ListParagraph"/>
        <w:numPr>
          <w:ilvl w:val="0"/>
          <w:numId w:val="2"/>
        </w:numPr>
        <w:spacing w:after="80"/>
      </w:pPr>
      <w:r>
        <w:rPr>
          <w:rFonts w:ascii="Calibri" w:cs="Calibri" w:eastAsia="Calibri" w:hAnsi="Calibri"/>
          <w:color w:val="1A1A1A"/>
          <w:sz w:val="20"/>
          <w:szCs w:val="20"/>
        </w:rPr>
        <w:t xml:space="preserve">Personal Protective Equipment (PPE) – protect the individual worker where the above controls cannot fully eliminate residual risk.</w:t>
      </w:r>
    </w:p>
    <w:p>
      <w:pPr>
        <w:pStyle w:val="Heading1"/>
        <w:pBdr>
          <w:bottom w:val="single" w:color="0F6C6C" w:sz="8" w:space="4"/>
        </w:pBdr>
        <w:spacing w:after="160" w:before="360"/>
      </w:pPr>
      <w:r>
        <w:rPr>
          <w:rFonts w:ascii="Calibri" w:cs="Calibri" w:eastAsia="Calibri" w:hAnsi="Calibri"/>
          <w:b/>
          <w:bCs/>
          <w:color w:val="1B2A4A"/>
          <w:sz w:val="28"/>
          <w:szCs w:val="28"/>
        </w:rPr>
        <w:t xml:space="preserve">4.0  PPE Hazard Assessment &amp; Certification</w:t>
      </w:r>
    </w:p>
    <w:p>
      <w:pPr>
        <w:spacing w:after="120"/>
      </w:pPr>
      <w:r>
        <w:rPr>
          <w:rFonts w:ascii="Calibri" w:cs="Calibri" w:eastAsia="Calibri" w:hAnsi="Calibri"/>
          <w:color w:val="1A1A1A"/>
          <w:sz w:val="20"/>
          <w:szCs w:val="20"/>
        </w:rPr>
        <w:t xml:space="preserve">PPE requirements are not assigned generically – they are derived from a documented Work-site Hazard Assessment for each location and task.</w:t>
      </w:r>
    </w:p>
    <w:p>
      <w:pPr>
        <w:pStyle w:val="ListParagraph"/>
        <w:numPr>
          <w:ilvl w:val="0"/>
          <w:numId w:val="3"/>
        </w:numPr>
        <w:spacing w:after="80"/>
      </w:pPr>
      <w:r>
        <w:rPr>
          <w:rFonts w:ascii="Calibri" w:cs="Calibri" w:eastAsia="Calibri" w:hAnsi="Calibri"/>
          <w:color w:val="1A1A1A"/>
          <w:sz w:val="20"/>
          <w:szCs w:val="20"/>
        </w:rPr>
        <w:t xml:space="preserve">Each work location has a Site-Specific HSE Plan (SSHSEP), which contains a PPE matrix and a signed Site-Specific Work-site Hazard Assessment; every Project Crew member receives this at their documented site orientation.</w:t>
      </w:r>
    </w:p>
    <w:p>
      <w:pPr>
        <w:pStyle w:val="ListParagraph"/>
        <w:numPr>
          <w:ilvl w:val="0"/>
          <w:numId w:val="3"/>
        </w:numPr>
        <w:spacing w:after="80"/>
      </w:pPr>
      <w:r>
        <w:rPr>
          <w:rFonts w:ascii="Calibri" w:cs="Calibri" w:eastAsia="Calibri" w:hAnsi="Calibri"/>
          <w:color w:val="1A1A1A"/>
          <w:sz w:val="20"/>
          <w:szCs w:val="20"/>
        </w:rPr>
        <w:t xml:space="preserve">The SWDA Safety Manager (SM) completes and signs the Certification of Hazard Assessment for each Work-site Hazard Assessment, which is included within the SSHSEP.</w:t>
      </w:r>
    </w:p>
    <w:p>
      <w:pPr>
        <w:pStyle w:val="ListParagraph"/>
        <w:numPr>
          <w:ilvl w:val="0"/>
          <w:numId w:val="3"/>
        </w:numPr>
        <w:spacing w:after="80"/>
      </w:pPr>
      <w:r>
        <w:rPr>
          <w:rFonts w:ascii="Calibri" w:cs="Calibri" w:eastAsia="Calibri" w:hAnsi="Calibri"/>
          <w:color w:val="1A1A1A"/>
          <w:sz w:val="20"/>
          <w:szCs w:val="20"/>
        </w:rPr>
        <w:t xml:space="preserve">Hazard Assessments (and the PPE requirements derived from them) are reviewed at the beginning of the job, periodically throughout the job, and at least annually, and are updated whenever new tasks are introduced that have not previously been risk-assessed.</w:t>
      </w:r>
    </w:p>
    <w:p>
      <w:pPr>
        <w:pStyle w:val="ListParagraph"/>
        <w:numPr>
          <w:ilvl w:val="0"/>
          <w:numId w:val="3"/>
        </w:numPr>
        <w:spacing w:after="80"/>
      </w:pPr>
      <w:r>
        <w:rPr>
          <w:rFonts w:ascii="Calibri" w:cs="Calibri" w:eastAsia="Calibri" w:hAnsi="Calibri"/>
          <w:color w:val="1A1A1A"/>
          <w:sz w:val="20"/>
          <w:szCs w:val="20"/>
        </w:rPr>
        <w:t xml:space="preserve">For jobs with the highest injury/illness rates, jobs new to SWDA's operations, jobs with major process changes, or jobs complex enough to require written instructions, a Job Safety &amp; Hazard Analysis (JS/HA) is performed, identical in format to the Risk Management Matrix (RMM), and is available from the Safety Manager on-site.</w:t>
      </w:r>
    </w:p>
    <w:p>
      <w:pPr>
        <w:pStyle w:val="ListParagraph"/>
        <w:numPr>
          <w:ilvl w:val="0"/>
          <w:numId w:val="3"/>
        </w:numPr>
        <w:spacing w:after="80"/>
      </w:pPr>
      <w:r>
        <w:rPr>
          <w:rFonts w:ascii="Calibri" w:cs="Calibri" w:eastAsia="Calibri" w:hAnsi="Calibri"/>
          <w:color w:val="1A1A1A"/>
          <w:sz w:val="20"/>
          <w:szCs w:val="20"/>
        </w:rPr>
        <w:t xml:space="preserve">No work begins before the applicable work-site hazard assessment (and associated PPE requirement) is completed. No task risk-assessed as Significant (Category III) or High (Category IV) may proceed without mitigative measures reducing the risk to Category II (Tolerable) or below – PPE selection is reviewed as part of these mitigative measures.</w:t>
      </w:r>
    </w:p>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5.0  PPE Selection Matrix</w:t>
      </w:r>
    </w:p>
    <w:p>
      <w:pPr>
        <w:spacing w:after="120"/>
      </w:pPr>
      <w:r>
        <w:rPr>
          <w:rFonts w:ascii="Calibri" w:cs="Calibri" w:eastAsia="Calibri" w:hAnsi="Calibri"/>
          <w:color w:val="1A1A1A"/>
          <w:sz w:val="20"/>
          <w:szCs w:val="20"/>
        </w:rPr>
        <w:t xml:space="preserve">The matrix below sets out the minimum required PPE against the hazards identified in the Project's Hazard &amp; Risk Assessment register. This matrix supplements – and does not replace – the site-specific PPE matrix contained in each location's Site-Specific HSE Plan (SSHSEP).</w:t>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2200"/>
        <w:gridCol w:w="4200"/>
        <w:gridCol w:w="4600"/>
      </w:tblGrid>
      <w:tr>
        <w:trPr>
          <w:tblHeader/>
        </w:trPr>
        <w:tc>
          <w:tcPr>
            <w:tcW w:type="dxa" w:w="22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Hazard</w:t>
            </w:r>
          </w:p>
        </w:tc>
        <w:tc>
          <w:tcPr>
            <w:tcW w:type="dxa" w:w="42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Required PPE</w:t>
            </w:r>
          </w:p>
        </w:tc>
        <w:tc>
          <w:tcPr>
            <w:tcW w:type="dxa" w:w="46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Notes / Trigger</w:t>
            </w:r>
          </w:p>
        </w:tc>
      </w:tr>
      <w:tr>
        <w:tc>
          <w:tcPr>
            <w:tcW w:type="dxa" w:w="22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5"/>
                <w:szCs w:val="15"/>
              </w:rPr>
              <w:t xml:space="preserve">General Site Hazards (head, foot, hand, eye)</w:t>
            </w:r>
          </w:p>
        </w:tc>
        <w:tc>
          <w:tcPr>
            <w:tcW w:type="dxa" w:w="42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Vented hard hat; steel-toed safety boots; hand gloves (task-appropriate); safety glasses/eye goggles</w:t>
            </w:r>
          </w:p>
        </w:tc>
        <w:tc>
          <w:tcPr>
            <w:tcW w:type="dxa" w:w="4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Mandatory baseline PPE for all personnel on any active worksite</w:t>
            </w:r>
          </w:p>
        </w:tc>
      </w:tr>
      <w:tr>
        <w:tc>
          <w:tcPr>
            <w:tcW w:type="dxa" w:w="22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5"/>
                <w:szCs w:val="15"/>
              </w:rPr>
              <w:t xml:space="preserve">Noise (&gt;80 dB)</w:t>
            </w:r>
          </w:p>
        </w:tc>
        <w:tc>
          <w:tcPr>
            <w:tcW w:type="dxa" w:w="42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Hearing protection (ear muffs or plugs)</w:t>
            </w:r>
          </w:p>
        </w:tc>
        <w:tc>
          <w:tcPr>
            <w:tcW w:type="dxa" w:w="46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Mandatory wherever noise levels exceed 80 dB (e.g. boiler, generator, compressor areas)</w:t>
            </w:r>
          </w:p>
        </w:tc>
      </w:tr>
      <w:tr>
        <w:tc>
          <w:tcPr>
            <w:tcW w:type="dxa" w:w="22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5"/>
                <w:szCs w:val="15"/>
              </w:rPr>
              <w:t xml:space="preserve">Flammable/Explosive Atmosphere</w:t>
            </w:r>
          </w:p>
        </w:tc>
        <w:tc>
          <w:tcPr>
            <w:tcW w:type="dxa" w:w="42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Intrinsically-safe tools and battery-powered equipment; ATEX-rated equipment; no ignition sources carried</w:t>
            </w:r>
          </w:p>
        </w:tc>
        <w:tc>
          <w:tcPr>
            <w:tcW w:type="dxa" w:w="4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Applies within all Zone 0/1 classified areas and during Permit to Work-controlled hot work exclusions</w:t>
            </w:r>
          </w:p>
        </w:tc>
      </w:tr>
      <w:tr>
        <w:tc>
          <w:tcPr>
            <w:tcW w:type="dxa" w:w="22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5"/>
                <w:szCs w:val="15"/>
              </w:rPr>
              <w:t xml:space="preserve">Confined Space Entry – Normal Access</w:t>
            </w:r>
          </w:p>
        </w:tc>
        <w:tc>
          <w:tcPr>
            <w:tcW w:type="dxa" w:w="42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Escape Breathing Air (EBA) Set; 4-Gas Personal Monitor; appropriate coveralls</w:t>
            </w:r>
          </w:p>
        </w:tc>
        <w:tc>
          <w:tcPr>
            <w:tcW w:type="dxa" w:w="46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Roof/tank access under normal atmospheric conditions per CSE Procedure</w:t>
            </w:r>
          </w:p>
        </w:tc>
      </w:tr>
      <w:tr>
        <w:tc>
          <w:tcPr>
            <w:tcW w:type="dxa" w:w="22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5"/>
                <w:szCs w:val="15"/>
              </w:rPr>
              <w:t xml:space="preserve">Confined Space Entry – SCBA-Required Activity / Tank Interior Entry</w:t>
            </w:r>
          </w:p>
        </w:tc>
        <w:tc>
          <w:tcPr>
            <w:tcW w:type="dxa" w:w="42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Self-Contained Breathing Apparatus (SCBA) or ALBA; or Powered Filter Respirator with permanent 4-Gas Monitor and Escape Set where atmosphere permits</w:t>
            </w:r>
          </w:p>
        </w:tc>
        <w:tc>
          <w:tcPr>
            <w:tcW w:type="dxa" w:w="4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Donned before activity commences per CSE Procedure; entry only under valid CSEP</w:t>
            </w:r>
          </w:p>
        </w:tc>
      </w:tr>
      <w:tr>
        <w:tc>
          <w:tcPr>
            <w:tcW w:type="dxa" w:w="22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5"/>
                <w:szCs w:val="15"/>
              </w:rPr>
              <w:t xml:space="preserve">H₂S Exposure Risk</w:t>
            </w:r>
          </w:p>
        </w:tc>
        <w:tc>
          <w:tcPr>
            <w:tcW w:type="dxa" w:w="42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Personal H₂S monitor; safety glasses; gloves; Breathing Apparatus on alarm activation</w:t>
            </w:r>
          </w:p>
        </w:tc>
        <w:tc>
          <w:tcPr>
            <w:tcW w:type="dxa" w:w="46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All persons in H₂S risk areas wear personal monitors at all times</w:t>
            </w:r>
          </w:p>
        </w:tc>
      </w:tr>
      <w:tr>
        <w:tc>
          <w:tcPr>
            <w:tcW w:type="dxa" w:w="22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5"/>
                <w:szCs w:val="15"/>
              </w:rPr>
              <w:t xml:space="preserve">Hazardous Chemicals / Cleaning Agents</w:t>
            </w:r>
          </w:p>
        </w:tc>
        <w:tc>
          <w:tcPr>
            <w:tcW w:type="dxa" w:w="42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Chemical-resistant gloves; coveralls; safety glasses; cartridge filter mask (when pouring from drum to tank)</w:t>
            </w:r>
          </w:p>
        </w:tc>
        <w:tc>
          <w:tcPr>
            <w:tcW w:type="dxa" w:w="4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SDS to be consulted before handling; chemicals stored on spill pallets with spill kit available</w:t>
            </w:r>
          </w:p>
        </w:tc>
      </w:tr>
      <w:tr>
        <w:tc>
          <w:tcPr>
            <w:tcW w:type="dxa" w:w="22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5"/>
                <w:szCs w:val="15"/>
              </w:rPr>
              <w:t xml:space="preserve">Asbestos (Suspected or Confirmed)</w:t>
            </w:r>
          </w:p>
        </w:tc>
        <w:tc>
          <w:tcPr>
            <w:tcW w:type="dxa" w:w="42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Respiratory Protective Equipment (RPE) with face-fit testing; disposable coveralls; Asbestos Decon Unit protocols</w:t>
            </w:r>
          </w:p>
        </w:tc>
        <w:tc>
          <w:tcPr>
            <w:tcW w:type="dxa" w:w="46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Work stops and RAEC Safety Team notified immediately if asbestos is suspected; only trained personnel with current face-fit test proceed</w:t>
            </w:r>
          </w:p>
        </w:tc>
      </w:tr>
      <w:tr>
        <w:tc>
          <w:tcPr>
            <w:tcW w:type="dxa" w:w="22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5"/>
                <w:szCs w:val="15"/>
              </w:rPr>
              <w:t xml:space="preserve">Manual Handling / Lifting</w:t>
            </w:r>
          </w:p>
        </w:tc>
        <w:tc>
          <w:tcPr>
            <w:tcW w:type="dxa" w:w="42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Gloves; safety boots; mechanical aids used where available</w:t>
            </w:r>
          </w:p>
        </w:tc>
        <w:tc>
          <w:tcPr>
            <w:tcW w:type="dxa" w:w="4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Loads assessed prior to lifting; do not lift unsafe loads</w:t>
            </w:r>
          </w:p>
        </w:tc>
      </w:tr>
      <w:tr>
        <w:tc>
          <w:tcPr>
            <w:tcW w:type="dxa" w:w="22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5"/>
                <w:szCs w:val="15"/>
              </w:rPr>
              <w:t xml:space="preserve">Weather Exposure (Rain, Sun, Wind)</w:t>
            </w:r>
          </w:p>
        </w:tc>
        <w:tc>
          <w:tcPr>
            <w:tcW w:type="dxa" w:w="42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Approved rain gear (up &amp; down); rubber boots (wet conditions)</w:t>
            </w:r>
          </w:p>
        </w:tc>
        <w:tc>
          <w:tcPr>
            <w:tcW w:type="dxa" w:w="46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Safety glasses worn only when safe to do so in rainy conditions</w:t>
            </w:r>
          </w:p>
        </w:tc>
      </w:tr>
      <w:tr>
        <w:tc>
          <w:tcPr>
            <w:tcW w:type="dxa" w:w="22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5"/>
                <w:szCs w:val="15"/>
              </w:rPr>
              <w:t xml:space="preserve">Line Breaking / Hot Work near Live Product</w:t>
            </w:r>
          </w:p>
        </w:tc>
        <w:tc>
          <w:tcPr>
            <w:tcW w:type="dxa" w:w="42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Face visor/goggles; fire-retardant coveralls; gloves; hearing protection where applicable</w:t>
            </w:r>
          </w:p>
        </w:tc>
        <w:tc>
          <w:tcPr>
            <w:tcW w:type="dxa" w:w="4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Permit to Work and Hot Work Permit required; PPE per permit conditions</w:t>
            </w:r>
          </w:p>
        </w:tc>
      </w:tr>
      <w:tr>
        <w:tc>
          <w:tcPr>
            <w:tcW w:type="dxa" w:w="22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5"/>
                <w:szCs w:val="15"/>
              </w:rPr>
              <w:t xml:space="preserve">Post-NME Final Mop-Up / Tank Solids Removal</w:t>
            </w:r>
          </w:p>
        </w:tc>
        <w:tc>
          <w:tcPr>
            <w:tcW w:type="dxa" w:w="42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SCBA or ALBA; jetting-lance PPE per manufacturer guidance; disposable coveralls over fire-retardant coveralls</w:t>
            </w:r>
          </w:p>
        </w:tc>
        <w:tc>
          <w:tcPr>
            <w:tcW w:type="dxa" w:w="46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Entry only when LEL ≤ 5% (stop work at ≥10% LEL); rotate entry personnel to prevent exhaustion</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6.0  PPE &amp; Consumables Inventory</w:t>
      </w:r>
    </w:p>
    <w:p>
      <w:pPr>
        <w:spacing w:after="120"/>
      </w:pPr>
      <w:r>
        <w:rPr>
          <w:rFonts w:ascii="Calibri" w:cs="Calibri" w:eastAsia="Calibri" w:hAnsi="Calibri"/>
          <w:color w:val="1A1A1A"/>
          <w:sz w:val="20"/>
          <w:szCs w:val="20"/>
        </w:rPr>
        <w:t xml:space="preserve">PPE and HSE consumables are sourced and staged against the Project's Pre-Mobilisation Consumables List, inspected at the SWDA Kidney Island Warehouse prior to mobilisation, and replenished on an ongoing basis at each site. The inventory below reflects the categories carried for this Project; quantities are maintained in the site-specific consumables register.</w:t>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4400"/>
        <w:gridCol w:w="3300"/>
        <w:gridCol w:w="3300"/>
      </w:tblGrid>
      <w:tr>
        <w:trPr>
          <w:tblHeader/>
        </w:trPr>
        <w:tc>
          <w:tcPr>
            <w:tcW w:type="dxa" w:w="4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Item</w:t>
            </w:r>
          </w:p>
        </w:tc>
        <w:tc>
          <w:tcPr>
            <w:tcW w:type="dxa" w:w="33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Purpose</w:t>
            </w:r>
          </w:p>
        </w:tc>
        <w:tc>
          <w:tcPr>
            <w:tcW w:type="dxa" w:w="33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Category</w:t>
            </w:r>
          </w:p>
        </w:tc>
      </w:tr>
      <w:tr>
        <w:tc>
          <w:tcPr>
            <w:tcW w:type="dxa" w:w="4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Vented Hard Hats (White)</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Head Protection</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PPE</w:t>
            </w:r>
          </w:p>
        </w:tc>
      </w:tr>
      <w:tr>
        <w:tc>
          <w:tcPr>
            <w:tcW w:type="dxa" w:w="4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Safety Glasses / Eye Goggles</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Eye Protection</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PPE</w:t>
            </w:r>
          </w:p>
        </w:tc>
      </w:tr>
      <w:tr>
        <w:tc>
          <w:tcPr>
            <w:tcW w:type="dxa" w:w="4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Steel-Toed Safety Boots</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Foot Protection</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PPE</w:t>
            </w:r>
          </w:p>
        </w:tc>
      </w:tr>
      <w:tr>
        <w:tc>
          <w:tcPr>
            <w:tcW w:type="dxa" w:w="4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Cotton Hand Gloves</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General Hand Protection</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PPE</w:t>
            </w:r>
          </w:p>
        </w:tc>
      </w:tr>
      <w:tr>
        <w:tc>
          <w:tcPr>
            <w:tcW w:type="dxa" w:w="4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Red Heavy-Duty Hand Gloves</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Hand Protection – Heavy Duty Tasks</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PPE</w:t>
            </w:r>
          </w:p>
        </w:tc>
      </w:tr>
      <w:tr>
        <w:tc>
          <w:tcPr>
            <w:tcW w:type="dxa" w:w="4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Rubber Hand Gloves</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Hand Protection – Wet/Chemical Tasks</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PPE</w:t>
            </w:r>
          </w:p>
        </w:tc>
      </w:tr>
      <w:tr>
        <w:tc>
          <w:tcPr>
            <w:tcW w:type="dxa" w:w="4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Mechanix Gloves</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Hand Protection – Mechanical/Dexterity Tasks</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PPE</w:t>
            </w:r>
          </w:p>
        </w:tc>
      </w:tr>
      <w:tr>
        <w:tc>
          <w:tcPr>
            <w:tcW w:type="dxa" w:w="4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Surgical Hand Gloves (Box of 100)</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Hand Protection – Fine/Medical Tasks</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PPE</w:t>
            </w:r>
          </w:p>
        </w:tc>
      </w:tr>
      <w:tr>
        <w:tc>
          <w:tcPr>
            <w:tcW w:type="dxa" w:w="4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Fire-Retardant Coveralls (SWDA-Branded)</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Body Protection</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PPE</w:t>
            </w:r>
          </w:p>
        </w:tc>
      </w:tr>
      <w:tr>
        <w:tc>
          <w:tcPr>
            <w:tcW w:type="dxa" w:w="4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Disposable Coveralls (Tyvek Suits)</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Body Protection – Worn Over Fire-Retardant Coveralls</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PPE</w:t>
            </w:r>
          </w:p>
        </w:tc>
      </w:tr>
      <w:tr>
        <w:tc>
          <w:tcPr>
            <w:tcW w:type="dxa" w:w="4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Ear Protection (Muffs)</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Hearing Protection (&gt;80 dB areas)</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PPE</w:t>
            </w:r>
          </w:p>
        </w:tc>
      </w:tr>
      <w:tr>
        <w:tc>
          <w:tcPr>
            <w:tcW w:type="dxa" w:w="4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Rain Gear (Up &amp; Down) &amp; Rubber Boots</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Weather Protection</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PPE</w:t>
            </w:r>
          </w:p>
        </w:tc>
      </w:tr>
      <w:tr>
        <w:tc>
          <w:tcPr>
            <w:tcW w:type="dxa" w:w="4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1/2-Face Respirators &amp; Cartridges</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Respiratory Protection – Moderate Risk</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PPE</w:t>
            </w:r>
          </w:p>
        </w:tc>
      </w:tr>
      <w:tr>
        <w:tc>
          <w:tcPr>
            <w:tcW w:type="dxa" w:w="4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Full-Face Respirators &amp; Cartridges</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Respiratory Protection – Higher Risk / Asbestos</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PPE</w:t>
            </w:r>
          </w:p>
        </w:tc>
      </w:tr>
      <w:tr>
        <w:tc>
          <w:tcPr>
            <w:tcW w:type="dxa" w:w="4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Self-Contained Breathing Apparatus (SCBA) &amp; Respirators/Cartridges</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Respiratory Protection – Confined Space / Post-NME Mop-Up</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PPE / HSE Equipment</w:t>
            </w:r>
          </w:p>
        </w:tc>
      </w:tr>
      <w:tr>
        <w:tc>
          <w:tcPr>
            <w:tcW w:type="dxa" w:w="4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Approved Intrinsically-Safe Brass Shovels, Scrapers, Buckets &amp; Squeegies</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Tools – Zone 0/1 Compatible</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HSE Equipment</w:t>
            </w:r>
          </w:p>
        </w:tc>
      </w:tr>
      <w:tr>
        <w:tc>
          <w:tcPr>
            <w:tcW w:type="dxa" w:w="4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Emergency Eye Wash Stations</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Emergency Response Equipment</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HSE</w:t>
            </w:r>
          </w:p>
        </w:tc>
      </w:tr>
      <w:tr>
        <w:tc>
          <w:tcPr>
            <w:tcW w:type="dxa" w:w="4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1st Aid Box Contents</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Emergency Medical Response</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HSE</w:t>
            </w:r>
          </w:p>
        </w:tc>
      </w:tr>
      <w:tr>
        <w:tc>
          <w:tcPr>
            <w:tcW w:type="dxa" w:w="4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Absorbent Pads / Booms / Rolls</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Spill Response</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Consumable Material (CM)</w:t>
            </w:r>
          </w:p>
        </w:tc>
      </w:tr>
      <w:tr>
        <w:tc>
          <w:tcPr>
            <w:tcW w:type="dxa" w:w="44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Large Woven Waste Bags (1 Tonne)</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Waste Handling</w:t>
            </w:r>
          </w:p>
        </w:tc>
        <w:tc>
          <w:tcPr>
            <w:tcW w:type="dxa" w:w="33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Consumable Material (CM)</w:t>
            </w:r>
          </w:p>
        </w:tc>
      </w:tr>
      <w:tr>
        <w:tc>
          <w:tcPr>
            <w:tcW w:type="dxa" w:w="44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Yellow / Red Caution Tape</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Site Demarcation</w:t>
            </w:r>
          </w:p>
        </w:tc>
        <w:tc>
          <w:tcPr>
            <w:tcW w:type="dxa" w:w="33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HSE</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7.0  Issuance, Inspection, Maintenance &amp; Replacement</w:t>
      </w:r>
    </w:p>
    <w:p>
      <w:pPr>
        <w:pStyle w:val="Heading2"/>
        <w:spacing w:after="120" w:before="280"/>
      </w:pPr>
      <w:r>
        <w:rPr>
          <w:rFonts w:ascii="Calibri" w:cs="Calibri" w:eastAsia="Calibri" w:hAnsi="Calibri"/>
          <w:b/>
          <w:bCs/>
          <w:color w:val="0F6C6C"/>
          <w:sz w:val="24"/>
          <w:szCs w:val="24"/>
        </w:rPr>
        <w:t xml:space="preserve">7.1  Issuance</w:t>
      </w:r>
    </w:p>
    <w:p>
      <w:pPr>
        <w:pStyle w:val="ListParagraph"/>
        <w:numPr>
          <w:ilvl w:val="0"/>
          <w:numId w:val="3"/>
        </w:numPr>
        <w:spacing w:after="80"/>
      </w:pPr>
      <w:r>
        <w:rPr>
          <w:rFonts w:ascii="Calibri" w:cs="Calibri" w:eastAsia="Calibri" w:hAnsi="Calibri"/>
          <w:color w:val="1A1A1A"/>
          <w:sz w:val="20"/>
          <w:szCs w:val="20"/>
        </w:rPr>
        <w:t xml:space="preserve">PPE is issued to each worker at site induction/orientation, matched to the PPE matrix in the applicable SSHSEP and the tasks the worker is assigned.</w:t>
      </w:r>
    </w:p>
    <w:p>
      <w:pPr>
        <w:pStyle w:val="ListParagraph"/>
        <w:numPr>
          <w:ilvl w:val="0"/>
          <w:numId w:val="3"/>
        </w:numPr>
        <w:spacing w:after="80"/>
      </w:pPr>
      <w:r>
        <w:rPr>
          <w:rFonts w:ascii="Calibri" w:cs="Calibri" w:eastAsia="Calibri" w:hAnsi="Calibri"/>
          <w:color w:val="1A1A1A"/>
          <w:sz w:val="20"/>
          <w:szCs w:val="20"/>
        </w:rPr>
        <w:t xml:space="preserve">Workers are trained in the correct use, limitations, and care of the PPE issued, including donning/doffing sequence for respiratory protective equipment.</w:t>
      </w:r>
    </w:p>
    <w:p>
      <w:pPr>
        <w:pStyle w:val="Heading2"/>
        <w:spacing w:after="120" w:before="280"/>
      </w:pPr>
      <w:r>
        <w:rPr>
          <w:rFonts w:ascii="Calibri" w:cs="Calibri" w:eastAsia="Calibri" w:hAnsi="Calibri"/>
          <w:b/>
          <w:bCs/>
          <w:color w:val="0F6C6C"/>
          <w:sz w:val="24"/>
          <w:szCs w:val="24"/>
        </w:rPr>
        <w:t xml:space="preserve">7.2  Pre-Use Inspection</w:t>
      </w:r>
    </w:p>
    <w:p>
      <w:pPr>
        <w:pStyle w:val="ListParagraph"/>
        <w:numPr>
          <w:ilvl w:val="0"/>
          <w:numId w:val="3"/>
        </w:numPr>
        <w:spacing w:after="80"/>
      </w:pPr>
      <w:r>
        <w:rPr>
          <w:rFonts w:ascii="Calibri" w:cs="Calibri" w:eastAsia="Calibri" w:hAnsi="Calibri"/>
          <w:color w:val="1A1A1A"/>
          <w:sz w:val="20"/>
          <w:szCs w:val="20"/>
        </w:rPr>
        <w:t xml:space="preserve">Workers visually inspect their PPE before each use (SYLA / Start Work Checklist) and report damaged or defective PPE to their Supervisor immediately – defective PPE is not used.</w:t>
      </w:r>
    </w:p>
    <w:p>
      <w:pPr>
        <w:pStyle w:val="ListParagraph"/>
        <w:numPr>
          <w:ilvl w:val="0"/>
          <w:numId w:val="3"/>
        </w:numPr>
        <w:spacing w:after="80"/>
      </w:pPr>
      <w:r>
        <w:rPr>
          <w:rFonts w:ascii="Calibri" w:cs="Calibri" w:eastAsia="Calibri" w:hAnsi="Calibri"/>
          <w:color w:val="1A1A1A"/>
          <w:sz w:val="20"/>
          <w:szCs w:val="20"/>
        </w:rPr>
        <w:t xml:space="preserve">Gas testing equipment and SCBA sets are subject to the calibration and inspection requirements set out in the Permit to Work System and Confined Space Entry Procedure.</w:t>
      </w:r>
    </w:p>
    <w:p>
      <w:pPr>
        <w:pStyle w:val="Heading2"/>
        <w:spacing w:after="120" w:before="280"/>
      </w:pPr>
      <w:r>
        <w:rPr>
          <w:rFonts w:ascii="Calibri" w:cs="Calibri" w:eastAsia="Calibri" w:hAnsi="Calibri"/>
          <w:b/>
          <w:bCs/>
          <w:color w:val="0F6C6C"/>
          <w:sz w:val="24"/>
          <w:szCs w:val="24"/>
        </w:rPr>
        <w:t xml:space="preserve">7.3  Periodic Inspection</w:t>
      </w:r>
    </w:p>
    <w:p>
      <w:pPr>
        <w:pStyle w:val="ListParagraph"/>
        <w:numPr>
          <w:ilvl w:val="0"/>
          <w:numId w:val="3"/>
        </w:numPr>
        <w:spacing w:after="80"/>
      </w:pPr>
      <w:r>
        <w:rPr>
          <w:rFonts w:ascii="Calibri" w:cs="Calibri" w:eastAsia="Calibri" w:hAnsi="Calibri"/>
          <w:color w:val="1A1A1A"/>
          <w:sz w:val="20"/>
          <w:szCs w:val="20"/>
        </w:rPr>
        <w:t xml:space="preserve">Weekly PPE &amp; Housekeeping Inspections (per the HSE Audit &amp; Inspection Procedure) verify PPE stock levels, condition, and fire extinguisher/emergency equipment tags.</w:t>
      </w:r>
    </w:p>
    <w:p>
      <w:pPr>
        <w:pStyle w:val="ListParagraph"/>
        <w:numPr>
          <w:ilvl w:val="0"/>
          <w:numId w:val="3"/>
        </w:numPr>
        <w:spacing w:after="80"/>
      </w:pPr>
      <w:r>
        <w:rPr>
          <w:rFonts w:ascii="Calibri" w:cs="Calibri" w:eastAsia="Calibri" w:hAnsi="Calibri"/>
          <w:color w:val="1A1A1A"/>
          <w:sz w:val="20"/>
          <w:szCs w:val="20"/>
        </w:rPr>
        <w:t xml:space="preserve">Fire extinguishers, emergency eyewash stations and other HSE-critical equipment are inspected and tagged monthly, with records retained as HSE records.</w:t>
      </w:r>
    </w:p>
    <w:p>
      <w:pPr>
        <w:pStyle w:val="Heading2"/>
        <w:spacing w:after="120" w:before="280"/>
      </w:pPr>
      <w:r>
        <w:rPr>
          <w:rFonts w:ascii="Calibri" w:cs="Calibri" w:eastAsia="Calibri" w:hAnsi="Calibri"/>
          <w:b/>
          <w:bCs/>
          <w:color w:val="0F6C6C"/>
          <w:sz w:val="24"/>
          <w:szCs w:val="24"/>
        </w:rPr>
        <w:t xml:space="preserve">7.4  Maintenance &amp; Storage</w:t>
      </w:r>
    </w:p>
    <w:p>
      <w:pPr>
        <w:pStyle w:val="ListParagraph"/>
        <w:numPr>
          <w:ilvl w:val="0"/>
          <w:numId w:val="3"/>
        </w:numPr>
        <w:spacing w:after="80"/>
      </w:pPr>
      <w:r>
        <w:rPr>
          <w:rFonts w:ascii="Calibri" w:cs="Calibri" w:eastAsia="Calibri" w:hAnsi="Calibri"/>
          <w:color w:val="1A1A1A"/>
          <w:sz w:val="20"/>
          <w:szCs w:val="20"/>
        </w:rPr>
        <w:t xml:space="preserve">PPE is stored in a manner that prevents damage, contamination or deterioration (e.g. respirators stored away from dust/chemical exposure when not in use).</w:t>
      </w:r>
    </w:p>
    <w:p>
      <w:pPr>
        <w:pStyle w:val="ListParagraph"/>
        <w:numPr>
          <w:ilvl w:val="0"/>
          <w:numId w:val="3"/>
        </w:numPr>
        <w:spacing w:after="80"/>
      </w:pPr>
      <w:r>
        <w:rPr>
          <w:rFonts w:ascii="Calibri" w:cs="Calibri" w:eastAsia="Calibri" w:hAnsi="Calibri"/>
          <w:color w:val="1A1A1A"/>
          <w:sz w:val="20"/>
          <w:szCs w:val="20"/>
        </w:rPr>
        <w:t xml:space="preserve">Reusable PPE (SCBA, full-face respirators) is cleaned and disinfected after use per manufacturer guidance before reissue.</w:t>
      </w:r>
    </w:p>
    <w:p>
      <w:pPr>
        <w:pStyle w:val="Heading2"/>
        <w:spacing w:after="120" w:before="280"/>
      </w:pPr>
      <w:r>
        <w:rPr>
          <w:rFonts w:ascii="Calibri" w:cs="Calibri" w:eastAsia="Calibri" w:hAnsi="Calibri"/>
          <w:b/>
          <w:bCs/>
          <w:color w:val="0F6C6C"/>
          <w:sz w:val="24"/>
          <w:szCs w:val="24"/>
        </w:rPr>
        <w:t xml:space="preserve">7.5  Replacement</w:t>
      </w:r>
    </w:p>
    <w:p>
      <w:pPr>
        <w:pStyle w:val="ListParagraph"/>
        <w:numPr>
          <w:ilvl w:val="0"/>
          <w:numId w:val="3"/>
        </w:numPr>
        <w:spacing w:after="80"/>
      </w:pPr>
      <w:r>
        <w:rPr>
          <w:rFonts w:ascii="Calibri" w:cs="Calibri" w:eastAsia="Calibri" w:hAnsi="Calibri"/>
          <w:color w:val="1A1A1A"/>
          <w:sz w:val="20"/>
          <w:szCs w:val="20"/>
        </w:rPr>
        <w:t xml:space="preserve">Disposable PPE (Tyvek coveralls, disposable gloves, filter cartridges) is replaced after single use or upon contamination, whichever occurs first.</w:t>
      </w:r>
    </w:p>
    <w:p>
      <w:pPr>
        <w:pStyle w:val="ListParagraph"/>
        <w:numPr>
          <w:ilvl w:val="0"/>
          <w:numId w:val="3"/>
        </w:numPr>
        <w:spacing w:after="80"/>
      </w:pPr>
      <w:r>
        <w:rPr>
          <w:rFonts w:ascii="Calibri" w:cs="Calibri" w:eastAsia="Calibri" w:hAnsi="Calibri"/>
          <w:color w:val="1A1A1A"/>
          <w:sz w:val="20"/>
          <w:szCs w:val="20"/>
        </w:rPr>
        <w:t xml:space="preserve">Non-disposable PPE showing wear, damage, or reduced protective performance is replaced immediately upon identification during pre-use or periodic inspection.</w:t>
      </w:r>
    </w:p>
    <w:p>
      <w:pPr>
        <w:pStyle w:val="Heading1"/>
        <w:pBdr>
          <w:bottom w:val="single" w:color="0F6C6C" w:sz="8" w:space="4"/>
        </w:pBdr>
        <w:spacing w:after="160" w:before="360"/>
      </w:pPr>
      <w:r>
        <w:rPr>
          <w:rFonts w:ascii="Calibri" w:cs="Calibri" w:eastAsia="Calibri" w:hAnsi="Calibri"/>
          <w:b/>
          <w:bCs/>
          <w:color w:val="1B2A4A"/>
          <w:sz w:val="28"/>
          <w:szCs w:val="28"/>
        </w:rPr>
        <w:t xml:space="preserve">8.0  Training &amp; Fit Testing</w:t>
      </w:r>
    </w:p>
    <w:p>
      <w:pPr>
        <w:pStyle w:val="ListParagraph"/>
        <w:numPr>
          <w:ilvl w:val="0"/>
          <w:numId w:val="3"/>
        </w:numPr>
        <w:spacing w:after="80"/>
      </w:pPr>
      <w:r>
        <w:rPr>
          <w:rFonts w:ascii="Calibri" w:cs="Calibri" w:eastAsia="Calibri" w:hAnsi="Calibri"/>
          <w:color w:val="1A1A1A"/>
          <w:sz w:val="20"/>
          <w:szCs w:val="20"/>
        </w:rPr>
        <w:t xml:space="preserve">All personnel receive PPE awareness training as part of site induction, covering the Hazard Identification (HI) process and the correct use and care of PPE assigned to their role.</w:t>
      </w:r>
    </w:p>
    <w:p>
      <w:pPr>
        <w:pStyle w:val="ListParagraph"/>
        <w:numPr>
          <w:ilvl w:val="0"/>
          <w:numId w:val="3"/>
        </w:numPr>
        <w:spacing w:after="80"/>
      </w:pPr>
      <w:r>
        <w:rPr>
          <w:rFonts w:ascii="Calibri" w:cs="Calibri" w:eastAsia="Calibri" w:hAnsi="Calibri"/>
          <w:color w:val="1A1A1A"/>
          <w:sz w:val="20"/>
          <w:szCs w:val="20"/>
        </w:rPr>
        <w:t xml:space="preserve">Respiratory Protective Equipment (RPE) users – including those in asbestos-risk and confined space roles – undergo face-fit testing before first use and periodically thereafter, in accordance with the SWDA Training Plan &amp; Competency Matrix.</w:t>
      </w:r>
    </w:p>
    <w:p>
      <w:pPr>
        <w:pStyle w:val="ListParagraph"/>
        <w:numPr>
          <w:ilvl w:val="0"/>
          <w:numId w:val="3"/>
        </w:numPr>
        <w:spacing w:after="80"/>
      </w:pPr>
      <w:r>
        <w:rPr>
          <w:rFonts w:ascii="Calibri" w:cs="Calibri" w:eastAsia="Calibri" w:hAnsi="Calibri"/>
          <w:color w:val="1A1A1A"/>
          <w:sz w:val="20"/>
          <w:szCs w:val="20"/>
        </w:rPr>
        <w:t xml:space="preserve">Confined Space Entrants, Attendants, and Rescue Access Team personnel receive specific training in SCBA/ALBA use, escape set operation, and emergency doffing procedures, per the Confined Space Entry (CSE) Procedure.</w:t>
      </w:r>
    </w:p>
    <w:p>
      <w:pPr>
        <w:pStyle w:val="ListParagraph"/>
        <w:numPr>
          <w:ilvl w:val="0"/>
          <w:numId w:val="3"/>
        </w:numPr>
        <w:spacing w:after="80"/>
      </w:pPr>
      <w:r>
        <w:rPr>
          <w:rFonts w:ascii="Calibri" w:cs="Calibri" w:eastAsia="Calibri" w:hAnsi="Calibri"/>
          <w:color w:val="1A1A1A"/>
          <w:sz w:val="20"/>
          <w:szCs w:val="20"/>
        </w:rPr>
        <w:t xml:space="preserve">Training effectiveness is evaluated through immediate feedback from the employee and the identifying supervisor/manager, and training completion records are maintained by the Training Manager (TM).</w:t>
      </w:r>
    </w:p>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9.0  Roles &amp; Responsibilities</w:t>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3200"/>
        <w:gridCol w:w="7800"/>
      </w:tblGrid>
      <w:tr>
        <w:tc>
          <w:tcPr>
            <w:tcW w:type="dxa" w:w="3200"/>
            <w:shd w:fill="1B2A4A"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FFFFFF"/>
                <w:sz w:val="16"/>
                <w:szCs w:val="16"/>
              </w:rPr>
              <w:t xml:space="preserve">Role</w:t>
            </w:r>
          </w:p>
        </w:tc>
        <w:tc>
          <w:tcPr>
            <w:tcW w:type="dxa" w:w="7800"/>
            <w:shd w:fill="1B2A4A"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FFFFFF"/>
                <w:sz w:val="16"/>
                <w:szCs w:val="16"/>
              </w:rPr>
              <w:t xml:space="preserve">PPE Responsibility</w:t>
            </w:r>
          </w:p>
        </w:tc>
      </w:tr>
      <w:tr>
        <w:tc>
          <w:tcPr>
            <w:tcW w:type="dxa" w:w="3200"/>
            <w:shd w:fill="FFFFFF"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SWDA Safety Manager (SM)</w:t>
            </w:r>
          </w:p>
        </w:tc>
        <w:tc>
          <w:tcPr>
            <w:tcW w:type="dxa" w:w="78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Completes and signs Certification of Hazard Assessment (including PPE matrix); owns the Hazard Assessment Programme review process.</w:t>
            </w:r>
          </w:p>
        </w:tc>
      </w:tr>
      <w:tr>
        <w:tc>
          <w:tcPr>
            <w:tcW w:type="dxa" w:w="3200"/>
            <w:shd w:fill="E8F2F1"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Project HSE Manager / HSE Officer</w:t>
            </w:r>
          </w:p>
        </w:tc>
        <w:tc>
          <w:tcPr>
            <w:tcW w:type="dxa" w:w="78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Verifies PPE availability, condition and correct use on site; conducts weekly PPE &amp; housekeeping inspections; manages PPE consumables register.</w:t>
            </w:r>
          </w:p>
        </w:tc>
      </w:tr>
      <w:tr>
        <w:tc>
          <w:tcPr>
            <w:tcW w:type="dxa" w:w="3200"/>
            <w:shd w:fill="FFFFFF"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Site Supervisor</w:t>
            </w:r>
          </w:p>
        </w:tc>
        <w:tc>
          <w:tcPr>
            <w:tcW w:type="dxa" w:w="78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Issues PPE at induction; briefs crew on task-specific PPE requirements; escalates defective PPE for replacement.</w:t>
            </w:r>
          </w:p>
        </w:tc>
      </w:tr>
      <w:tr>
        <w:tc>
          <w:tcPr>
            <w:tcW w:type="dxa" w:w="3200"/>
            <w:shd w:fill="E8F2F1"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Individual Worker</w:t>
            </w:r>
          </w:p>
        </w:tc>
        <w:tc>
          <w:tcPr>
            <w:tcW w:type="dxa" w:w="78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Wears issued PPE correctly at all times required; conducts pre-use inspection (SYLA/SWC); reports damaged or missing PPE immediately.</w:t>
            </w:r>
          </w:p>
        </w:tc>
      </w:tr>
      <w:tr>
        <w:tc>
          <w:tcPr>
            <w:tcW w:type="dxa" w:w="3200"/>
            <w:shd w:fill="FFFFFF"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Confined Space Attendant</w:t>
            </w:r>
          </w:p>
        </w:tc>
        <w:tc>
          <w:tcPr>
            <w:tcW w:type="dxa" w:w="78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Verifies entrant RPE/SCBA is correctly donned and functioning before entry; monitors PPE-related distress signs during entry.</w:t>
            </w:r>
          </w:p>
        </w:tc>
      </w:tr>
      <w:tr>
        <w:tc>
          <w:tcPr>
            <w:tcW w:type="dxa" w:w="3200"/>
            <w:shd w:fill="E8F2F1"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Procurement / Materials Manager (MM)</w:t>
            </w:r>
          </w:p>
        </w:tc>
        <w:tc>
          <w:tcPr>
            <w:tcW w:type="dxa" w:w="78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Sources and maintains PPE and consumables stock against the Pre-Mobilisation Consumables List; coordinates Pre-Mobilisation Inspection.</w:t>
            </w:r>
          </w:p>
        </w:tc>
      </w:tr>
      <w:tr>
        <w:tc>
          <w:tcPr>
            <w:tcW w:type="dxa" w:w="3200"/>
            <w:shd w:fill="FFFFFF"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Training Manager (TM)</w:t>
            </w:r>
          </w:p>
        </w:tc>
        <w:tc>
          <w:tcPr>
            <w:tcW w:type="dxa" w:w="78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Maintains RPE face-fit testing and PPE-related training records.</w:t>
            </w:r>
          </w:p>
        </w:tc>
      </w:tr>
    </w:tbl>
    <w:p>
      <w:pPr>
        <w:pStyle w:val="Heading1"/>
        <w:pBdr>
          <w:bottom w:val="single" w:color="0F6C6C" w:sz="8" w:space="4"/>
        </w:pBdr>
        <w:spacing w:after="160" w:before="360"/>
      </w:pPr>
      <w:r>
        <w:rPr>
          <w:rFonts w:ascii="Calibri" w:cs="Calibri" w:eastAsia="Calibri" w:hAnsi="Calibri"/>
          <w:b/>
          <w:bCs/>
          <w:color w:val="1B2A4A"/>
          <w:sz w:val="28"/>
          <w:szCs w:val="28"/>
        </w:rPr>
        <w:t xml:space="preserve">10.0  Records</w:t>
      </w:r>
    </w:p>
    <w:p>
      <w:pPr>
        <w:pStyle w:val="ListParagraph"/>
        <w:numPr>
          <w:ilvl w:val="0"/>
          <w:numId w:val="3"/>
        </w:numPr>
        <w:spacing w:after="80"/>
      </w:pPr>
      <w:r>
        <w:rPr>
          <w:rFonts w:ascii="Calibri" w:cs="Calibri" w:eastAsia="Calibri" w:hAnsi="Calibri"/>
          <w:color w:val="1A1A1A"/>
          <w:sz w:val="20"/>
          <w:szCs w:val="20"/>
        </w:rPr>
        <w:t xml:space="preserve">PPE issuance records (per worker, per item);</w:t>
      </w:r>
    </w:p>
    <w:p>
      <w:pPr>
        <w:pStyle w:val="ListParagraph"/>
        <w:numPr>
          <w:ilvl w:val="0"/>
          <w:numId w:val="3"/>
        </w:numPr>
        <w:spacing w:after="80"/>
      </w:pPr>
      <w:r>
        <w:rPr>
          <w:rFonts w:ascii="Calibri" w:cs="Calibri" w:eastAsia="Calibri" w:hAnsi="Calibri"/>
          <w:color w:val="1A1A1A"/>
          <w:sz w:val="20"/>
          <w:szCs w:val="20"/>
        </w:rPr>
        <w:t xml:space="preserve">PPE inspection and inventory records, including weekly PPE &amp; housekeeping inspection reports;</w:t>
      </w:r>
    </w:p>
    <w:p>
      <w:pPr>
        <w:pStyle w:val="ListParagraph"/>
        <w:numPr>
          <w:ilvl w:val="0"/>
          <w:numId w:val="3"/>
        </w:numPr>
        <w:spacing w:after="80"/>
      </w:pPr>
      <w:r>
        <w:rPr>
          <w:rFonts w:ascii="Calibri" w:cs="Calibri" w:eastAsia="Calibri" w:hAnsi="Calibri"/>
          <w:color w:val="1A1A1A"/>
          <w:sz w:val="20"/>
          <w:szCs w:val="20"/>
        </w:rPr>
        <w:t xml:space="preserve">RPE/SCBA face-fit testing and training records;</w:t>
      </w:r>
    </w:p>
    <w:p>
      <w:pPr>
        <w:pStyle w:val="ListParagraph"/>
        <w:numPr>
          <w:ilvl w:val="0"/>
          <w:numId w:val="3"/>
        </w:numPr>
        <w:spacing w:after="80"/>
      </w:pPr>
      <w:r>
        <w:rPr>
          <w:rFonts w:ascii="Calibri" w:cs="Calibri" w:eastAsia="Calibri" w:hAnsi="Calibri"/>
          <w:color w:val="1A1A1A"/>
          <w:sz w:val="20"/>
          <w:szCs w:val="20"/>
        </w:rPr>
        <w:t xml:space="preserve">Pre-Mobilisation Inspection and Clearance records for PPE and consumables;</w:t>
      </w:r>
    </w:p>
    <w:p>
      <w:pPr>
        <w:pStyle w:val="ListParagraph"/>
        <w:numPr>
          <w:ilvl w:val="0"/>
          <w:numId w:val="3"/>
        </w:numPr>
        <w:spacing w:after="80"/>
      </w:pPr>
      <w:r>
        <w:rPr>
          <w:rFonts w:ascii="Calibri" w:cs="Calibri" w:eastAsia="Calibri" w:hAnsi="Calibri"/>
          <w:color w:val="1A1A1A"/>
          <w:sz w:val="20"/>
          <w:szCs w:val="20"/>
        </w:rPr>
        <w:t xml:space="preserve">Certification of Hazard Assessment (including PPE matrix) for each Site-Specific HSE Plan;</w:t>
      </w:r>
    </w:p>
    <w:p>
      <w:pPr>
        <w:pStyle w:val="ListParagraph"/>
        <w:numPr>
          <w:ilvl w:val="0"/>
          <w:numId w:val="3"/>
        </w:numPr>
        <w:spacing w:after="80"/>
      </w:pPr>
      <w:r>
        <w:rPr>
          <w:rFonts w:ascii="Calibri" w:cs="Calibri" w:eastAsia="Calibri" w:hAnsi="Calibri"/>
          <w:color w:val="1A1A1A"/>
          <w:sz w:val="20"/>
          <w:szCs w:val="20"/>
        </w:rPr>
        <w:t xml:space="preserve">Any PPE-related findings raised via the HSE Audit &amp; Inspection Procedure, logged in the Project Action Tracking Register.</w:t>
      </w:r>
    </w:p>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11.0  Approval</w:t>
      </w:r>
    </w:p>
    <w:p>
      <w:pPr>
        <w:spacing w:after="120"/>
      </w:pPr>
      <w:r>
        <w:rPr>
          <w:rFonts w:ascii="Calibri" w:cs="Calibri" w:eastAsia="Calibri" w:hAnsi="Calibri"/>
          <w:color w:val="1A1A1A"/>
          <w:sz w:val="20"/>
          <w:szCs w:val="20"/>
        </w:rPr>
        <w:t xml:space="preserve">This SWDA Personal Protective Equipment (PPE) Procedure has been reviewed for completeness and alignment with the HSE Plan, PE&amp;RM Plan, and PIP/Methodology Statement SOW, and is submitted for approval as the governing PPE framework for the Renaissance 18-Tank ATC/NME Project.</w:t>
      </w:r>
    </w:p>
    <w:p>
      <w:pPr>
        <w:spacing w:after="100" w:before="600"/>
      </w:pPr>
      <w:r>
        <w:rPr>
          <w:rFonts w:ascii="Calibri" w:cs="Calibri" w:eastAsia="Calibri" w:hAnsi="Calibri"/>
          <w:b/>
          <w:bCs/>
          <w:color w:val="1B2A4A"/>
          <w:sz w:val="20"/>
          <w:szCs w:val="20"/>
        </w:rPr>
        <w:t xml:space="preserve">Approved by:</w:t>
      </w:r>
    </w:p>
    <w:p>
      <w:pPr>
        <w:spacing w:after="60" w:before="500"/>
      </w:pPr>
      <w:r>
        <w:rPr>
          <w:rFonts w:ascii="Calibri" w:cs="Calibri" w:eastAsia="Calibri" w:hAnsi="Calibri"/>
          <w:sz w:val="20"/>
          <w:szCs w:val="20"/>
        </w:rPr>
        <w:t xml:space="preserve">____________________________________________</w:t>
      </w:r>
    </w:p>
    <w:p>
      <w:pPr>
        <w:spacing w:after="40"/>
      </w:pPr>
      <w:r>
        <w:rPr>
          <w:rFonts w:ascii="Calibri" w:cs="Calibri" w:eastAsia="Calibri" w:hAnsi="Calibri"/>
          <w:b/>
          <w:bCs/>
          <w:sz w:val="20"/>
          <w:szCs w:val="20"/>
        </w:rPr>
        <w:t xml:space="preserve">Gliffeth Wonuigwe</w:t>
      </w:r>
    </w:p>
    <w:p>
      <w:pPr>
        <w:spacing w:after="40"/>
      </w:pPr>
      <w:r>
        <w:rPr>
          <w:rFonts w:ascii="Calibri" w:cs="Calibri" w:eastAsia="Calibri" w:hAnsi="Calibri"/>
          <w:i/>
          <w:iCs/>
          <w:sz w:val="19"/>
          <w:szCs w:val="19"/>
        </w:rPr>
        <w:t xml:space="preserve">Group Chief Executive Officer / Managing Director</w:t>
      </w:r>
    </w:p>
    <w:p>
      <w:pPr>
        <w:spacing w:after="40"/>
      </w:pPr>
      <w:r>
        <w:rPr>
          <w:rFonts w:ascii="Calibri" w:cs="Calibri" w:eastAsia="Calibri" w:hAnsi="Calibri"/>
          <w:i/>
          <w:iCs/>
          <w:sz w:val="19"/>
          <w:szCs w:val="19"/>
        </w:rPr>
        <w:t xml:space="preserve">South West Design Africa Limited (SWDA)</w:t>
      </w:r>
    </w:p>
    <w:p>
      <w:pPr>
        <w:spacing w:after="40" w:before="300"/>
      </w:pPr>
      <w:r>
        <w:rPr>
          <w:rFonts w:ascii="Calibri" w:cs="Calibri" w:eastAsia="Calibri" w:hAnsi="Calibri"/>
          <w:sz w:val="20"/>
          <w:szCs w:val="20"/>
        </w:rPr>
        <w:t xml:space="preserve">Date: ____________________________</w:t>
      </w:r>
    </w:p>
    <w:sectPr>
      <w:headerReference w:type="default" r:id="rId9"/>
      <w:footerReference w:type="default" r:id="rId10"/>
      <w:pgSz w:w="12240" w:h="15840" w:orient="portrait"/>
      <w:pgMar w:top="1260" w:right="1080" w:bottom="126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F6C6C" w:sz="6" w:space="4"/>
      </w:pBdr>
      <w:tabs>
        <w:tab w:val="center" w:pos="4513"/>
        <w:tab w:val="right" w:pos="9026"/>
      </w:tabs>
    </w:pPr>
    <w:r>
      <w:rPr>
        <w:rFonts w:ascii="Calibri" w:cs="Calibri" w:eastAsia="Calibri" w:hAnsi="Calibri"/>
        <w:color w:val="1A1A1A"/>
        <w:sz w:val="15"/>
        <w:szCs w:val="15"/>
      </w:rPr>
      <w:t xml:space="preserve">Rev. 0 – 05 August 2026</w:t>
    </w:r>
    <w:r>
      <w:rPr>
        <w:rFonts w:ascii="Calibri" w:cs="Calibri" w:eastAsia="Calibri" w:hAnsi="Calibri"/>
        <w:color w:val="1A1A1A"/>
        <w:sz w:val="15"/>
        <w:szCs w:val="15"/>
      </w:rPr>
      <w:t xml:space="preserve">	CONFIDENTIAL – PROJECT CONTROLLED DOCUMENT</w:t>
    </w:r>
    <w:r>
      <w:rPr>
        <w:rFonts w:ascii="Calibri" w:cs="Calibri" w:eastAsia="Calibri" w:hAnsi="Calibri"/>
        <w:sz w:val="15"/>
        <w:szCs w:val="15"/>
      </w:rPr>
      <w:t xml:space="preserve">	</w:t>
    </w:r>
    <w:r>
      <w:rPr>
        <w:rFonts w:ascii="Calibri" w:cs="Calibri" w:eastAsia="Calibri" w:hAnsi="Calibri"/>
        <w:color w:val="1A1A1A"/>
        <w:sz w:val="15"/>
        <w:szCs w:val="15"/>
      </w:rPr>
      <w:t xml:space="preserve">Page </w:t>
    </w:r>
    <w:r>
      <w:rPr>
        <w:rFonts w:ascii="Calibri" w:cs="Calibri" w:eastAsia="Calibri" w:hAnsi="Calibri"/>
        <w:color w:val="1A1A1A"/>
        <w:sz w:val="15"/>
        <w:szCs w:val="15"/>
      </w:rPr>
      <w:fldChar w:fldCharType="begin"/>
      <w:instrText xml:space="preserve">PAGE</w:instrText>
      <w:fldChar w:fldCharType="separate"/>
      <w:fldChar w:fldCharType="end"/>
    </w:r>
    <w:r>
      <w:rPr>
        <w:rFonts w:ascii="Calibri" w:cs="Calibri" w:eastAsia="Calibri" w:hAnsi="Calibri"/>
        <w:color w:val="1A1A1A"/>
        <w:sz w:val="15"/>
        <w:szCs w:val="15"/>
      </w:rPr>
      <w:t xml:space="preserve"> of </w:t>
    </w:r>
    <w:r>
      <w:rPr>
        <w:rFonts w:ascii="Calibri" w:cs="Calibri" w:eastAsia="Calibri" w:hAnsi="Calibri"/>
        <w:color w:val="1A1A1A"/>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F6C6C" w:sz="6" w:space="4"/>
      </w:pBdr>
      <w:tabs>
        <w:tab w:val="right" w:pos="9026"/>
      </w:tabs>
    </w:pPr>
    <w:r>
      <w:rPr>
        <w:rFonts w:ascii="Calibri" w:cs="Calibri" w:eastAsia="Calibri" w:hAnsi="Calibri"/>
        <w:b/>
        <w:bCs/>
        <w:color w:val="1B2A4A"/>
        <w:sz w:val="16"/>
        <w:szCs w:val="16"/>
      </w:rPr>
      <w:t xml:space="preserve">SWDA PPE Procedure – RAEC Project</w:t>
    </w:r>
    <w:r>
      <w:rPr>
        <w:rFonts w:ascii="Calibri" w:cs="Calibri" w:eastAsia="Calibri" w:hAnsi="Calibri"/>
        <w:color w:val="0F6C6C"/>
        <w:sz w:val="15"/>
        <w:szCs w:val="15"/>
      </w:rPr>
      <w:t xml:space="preserve">	RENAISSANCE-CW-68582 / SWDA-2026-RAEC-001-PPE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2026-08-05T15:28:19.903Z</dcterms:created>
  <dcterms:modified xsi:type="dcterms:W3CDTF">2026-08-05T15:28:19.903Z</dcterms:modified>
</cp:coreProperties>
</file>

<file path=docProps/custom.xml><?xml version="1.0" encoding="utf-8"?>
<Properties xmlns="http://schemas.openxmlformats.org/officeDocument/2006/custom-properties" xmlns:vt="http://schemas.openxmlformats.org/officeDocument/2006/docPropsVTypes"/>
</file>