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rPr>
          <w:rFonts w:ascii="Calibri" w:cs="Calibri" w:eastAsia="Calibri" w:hAnsi="Calibri"/>
          <w:color w:val="1A1A1A"/>
          <w:sz w:val="20"/>
          <w:szCs w:val="20"/>
        </w:rPr>
        <w:t xml:space="preserve"/>
      </w:r>
    </w:p>
    <w:p>
      <w:pPr>
        <w:pBdr>
          <w:bottom w:val="single" w:color="B8944F" w:sz="12" w:space="10"/>
        </w:pBdr>
        <w:spacing w:after="0" w:before="800"/>
        <w:jc w:val="center"/>
      </w:pPr>
      <w:r>
        <w:rPr>
          <w:rFonts w:ascii="Calibri" w:cs="Calibri" w:eastAsia="Calibri" w:hAnsi="Calibri"/>
          <w:b/>
          <w:bCs/>
          <w:color w:val="1B2A4A"/>
          <w:sz w:val="32"/>
          <w:szCs w:val="32"/>
        </w:rPr>
        <w:t xml:space="preserve">SOUTH WEST DESIGN AFRICA LIMITED</w:t>
      </w:r>
    </w:p>
    <w:p>
      <w:pPr>
        <w:spacing w:after="600" w:before="120"/>
        <w:jc w:val="center"/>
      </w:pPr>
      <w:r>
        <w:rPr>
          <w:rFonts w:ascii="Calibri" w:cs="Calibri" w:eastAsia="Calibri" w:hAnsi="Calibri"/>
          <w:i/>
          <w:iCs/>
          <w:color w:val="0F6C6C"/>
          <w:sz w:val="20"/>
          <w:szCs w:val="20"/>
        </w:rPr>
        <w:t xml:space="preserve">HSE &amp; Project Compliance Documentation</w:t>
      </w:r>
    </w:p>
    <w:p>
      <w:pPr>
        <w:spacing w:after="200" w:before="1200"/>
        <w:jc w:val="center"/>
      </w:pPr>
      <w:r>
        <w:rPr>
          <w:rFonts w:ascii="Calibri" w:cs="Calibri" w:eastAsia="Calibri" w:hAnsi="Calibri"/>
          <w:b/>
          <w:bCs/>
          <w:color w:val="1B2A4A"/>
          <w:sz w:val="44"/>
          <w:szCs w:val="44"/>
        </w:rPr>
        <w:t xml:space="preserve">SWDA HEALTH RISK ASSESSMENT PROCEDURE</w:t>
      </w:r>
    </w:p>
    <w:p>
      <w:pPr>
        <w:spacing w:after="800" w:before="0"/>
        <w:jc w:val="center"/>
      </w:pPr>
      <w:r>
        <w:rPr>
          <w:rFonts w:ascii="Calibri" w:cs="Calibri" w:eastAsia="Calibri" w:hAnsi="Calibri"/>
          <w:color w:val="0F6C6C"/>
          <w:sz w:val="22"/>
          <w:szCs w:val="22"/>
        </w:rPr>
        <w:t xml:space="preserve">Occupational Health (OH) &amp; Hygiene Monitoring Plan</w:t>
      </w:r>
    </w:p>
    <w:p>
      <w:pPr>
        <w:spacing w:after="100" w:before="200"/>
        <w:jc w:val="center"/>
      </w:pPr>
      <w:r>
        <w:rPr>
          <w:rFonts w:ascii="Calibri" w:cs="Calibri" w:eastAsia="Calibri" w:hAnsi="Calibri"/>
          <w:b/>
          <w:bCs/>
          <w:color w:val="1A1A1A"/>
          <w:sz w:val="24"/>
          <w:szCs w:val="24"/>
        </w:rPr>
        <w:t xml:space="preserve">18-Tank Automatic Tank Cleaning (ATC) &amp; No-Man Entry (NME) Project</w:t>
      </w:r>
    </w:p>
    <w:p>
      <w:pPr>
        <w:spacing w:after="100" w:before="0"/>
        <w:jc w:val="center"/>
      </w:pPr>
      <w:r>
        <w:rPr>
          <w:rFonts w:ascii="Calibri" w:cs="Calibri" w:eastAsia="Calibri" w:hAnsi="Calibri"/>
          <w:color w:val="1A1A1A"/>
          <w:sz w:val="20"/>
          <w:szCs w:val="20"/>
        </w:rPr>
        <w:t xml:space="preserve">Contract/Tender Nos.: CW-68582 &amp; CW-515913 — applicable across SWDA's project portfolio</w:t>
      </w:r>
    </w:p>
    <w:p>
      <w:pPr>
        <w:spacing w:after="600" w:before="0"/>
        <w:jc w:val="center"/>
      </w:pPr>
      <w:r>
        <w:rPr>
          <w:rFonts w:ascii="Calibri" w:cs="Calibri" w:eastAsia="Calibri" w:hAnsi="Calibri"/>
          <w:color w:val="1A1A1A"/>
          <w:sz w:val="20"/>
          <w:szCs w:val="20"/>
        </w:rPr>
        <w:t xml:space="preserve">Client: Renaissance Africa Energy Company (RAEC)    |    Contractor: South West Design Africa Limited (SWDA)</w:t>
      </w:r>
    </w:p>
    <w:tbl>
      <w:tblPr>
        <w:tblW w:type="dxa" w:w="8500"/>
        <w:jc w:val="center"/>
        <w:tblBorders>
          <w:top w:val="single" w:color="auto" w:sz="4"/>
          <w:left w:val="single" w:color="auto" w:sz="4"/>
          <w:bottom w:val="single" w:color="auto" w:sz="4"/>
          <w:right w:val="single" w:color="auto" w:sz="4"/>
          <w:insideH w:val="single" w:color="auto" w:sz="4"/>
          <w:insideV w:val="single" w:color="auto" w:sz="4"/>
        </w:tblBorders>
      </w:tblPr>
      <w:tblGrid>
        <w:gridCol w:w="3000"/>
        <w:gridCol w:w="5500"/>
      </w:tblGrid>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No.</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RENAISSANCE-CW-68582 / SWDA-2026-RAEC-001-HRA</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Revision</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Rev. 0</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Issue Date</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05 August 2026</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Document Status</w:t>
            </w:r>
          </w:p>
        </w:tc>
        <w:tc>
          <w:tcPr>
            <w:tcW w:type="dxa" w:w="5500"/>
            <w:shd w:fill="E8F2F1"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Issued for Approval</w:t>
            </w:r>
          </w:p>
        </w:tc>
      </w:tr>
      <w:tr>
        <w:tc>
          <w:tcPr>
            <w:tcW w:type="dxa" w:w="3000"/>
            <w:shd w:fill="1B2A4A" w:val="clear"/>
            <w:tcMar>
              <w:top w:type="dxa" w:w="100"/>
              <w:left w:type="dxa" w:w="140"/>
              <w:bottom w:type="dxa" w:w="100"/>
              <w:right w:type="dxa" w:w="140"/>
            </w:tcMar>
            <w:vAlign w:val="center"/>
          </w:tcPr>
          <w:p>
            <w:pPr>
              <w:spacing w:after="0"/>
              <w:jc w:val="left"/>
            </w:pPr>
            <w:r>
              <w:rPr>
                <w:rFonts w:ascii="Calibri" w:cs="Calibri" w:eastAsia="Calibri" w:hAnsi="Calibri"/>
                <w:b/>
                <w:bCs/>
                <w:i w:val="false"/>
                <w:iCs w:val="false"/>
                <w:color w:val="FFFFFF"/>
                <w:sz w:val="18"/>
                <w:szCs w:val="18"/>
              </w:rPr>
              <w:t xml:space="preserve">Classification</w:t>
            </w:r>
          </w:p>
        </w:tc>
        <w:tc>
          <w:tcPr>
            <w:tcW w:type="dxa" w:w="5500"/>
            <w:shd w:fill="FFFFFF" w:val="clear"/>
            <w:tcMar>
              <w:top w:type="dxa" w:w="100"/>
              <w:left w:type="dxa" w:w="140"/>
              <w:bottom w:type="dxa" w:w="100"/>
              <w:right w:type="dxa" w:w="140"/>
            </w:tcMar>
            <w:vAlign w:val="center"/>
          </w:tcPr>
          <w:p>
            <w:pPr>
              <w:spacing w:after="0"/>
              <w:jc w:val="left"/>
            </w:pPr>
            <w:r>
              <w:rPr>
                <w:rFonts w:ascii="Calibri" w:cs="Calibri" w:eastAsia="Calibri" w:hAnsi="Calibri"/>
                <w:b w:val="false"/>
                <w:bCs w:val="false"/>
                <w:i w:val="false"/>
                <w:iCs w:val="false"/>
                <w:color w:val="1A1A1A"/>
                <w:sz w:val="18"/>
                <w:szCs w:val="18"/>
              </w:rPr>
              <w:t xml:space="preserve">Project Controlled Document – HSE / Occupational Health</w:t>
            </w:r>
          </w:p>
        </w:tc>
      </w:tr>
    </w:tbl>
    <w:p>
      <w:pPr>
        <w:spacing w:before="800"/>
      </w:pPr>
      <w:r>
        <w:rPr>
          <w:rFonts w:ascii="Calibri" w:cs="Calibri" w:eastAsia="Calibri" w:hAnsi="Calibri"/>
          <w:color w:val="1A1A1A"/>
          <w:sz w:val="20"/>
          <w:szCs w:val="20"/>
        </w:rPr>
        <w:t xml:space="preserve"/>
      </w:r>
    </w:p>
    <w:p>
      <w:pPr>
        <w:spacing w:before="1800"/>
        <w:jc w:val="center"/>
      </w:pPr>
      <w:r>
        <w:rPr>
          <w:rFonts w:ascii="Calibri" w:cs="Calibri" w:eastAsia="Calibri" w:hAnsi="Calibri"/>
          <w:i/>
          <w:iCs/>
          <w:color w:val="1A1A1A"/>
          <w:sz w:val="18"/>
          <w:szCs w:val="18"/>
        </w:rPr>
        <w:t xml:space="preserve">Prepared by the SWDA Project QA/QC &amp; HSE Team</w:t>
      </w:r>
    </w:p>
    <w:p>
      <w:pPr>
        <w:spacing w:before="80"/>
        <w:jc w:val="center"/>
      </w:pPr>
      <w:r>
        <w:rPr>
          <w:rFonts w:ascii="Calibri" w:cs="Calibri" w:eastAsia="Calibri" w:hAnsi="Calibri"/>
          <w:i/>
          <w:iCs/>
          <w:color w:val="1A1A1A"/>
          <w:sz w:val="18"/>
          <w:szCs w:val="18"/>
        </w:rPr>
        <w:t xml:space="preserve">For Review and Approval by SWDA Executive Management and Renaissance Africa Energy Company (RAEC)</w:t>
      </w:r>
    </w:p>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pBdr>
          <w:bottom w:val="single" w:color="0F6C6C" w:sz="8" w:space="4"/>
        </w:pBdr>
        <w:spacing w:after="160" w:before="360"/>
      </w:pPr>
      <w:r>
        <w:rPr>
          <w:rFonts w:ascii="Calibri" w:cs="Calibri" w:eastAsia="Calibri" w:hAnsi="Calibri"/>
          <w:b/>
          <w:bCs/>
          <w:color w:val="1B2A4A"/>
          <w:sz w:val="28"/>
          <w:szCs w:val="28"/>
        </w:rPr>
        <w:t xml:space="preserve">0.0  Document Control</w:t>
      </w:r>
    </w:p>
    <w:p>
      <w:pPr>
        <w:pStyle w:val="Heading2"/>
        <w:spacing w:after="120" w:before="280"/>
      </w:pPr>
      <w:r>
        <w:rPr>
          <w:rFonts w:ascii="Calibri" w:cs="Calibri" w:eastAsia="Calibri" w:hAnsi="Calibri"/>
          <w:b/>
          <w:bCs/>
          <w:color w:val="0F6C6C"/>
          <w:sz w:val="24"/>
          <w:szCs w:val="24"/>
        </w:rPr>
        <w:t xml:space="preserve">0.1  Revision History</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1400"/>
        <w:gridCol w:w="3400"/>
        <w:gridCol w:w="2400"/>
        <w:gridCol w:w="2200"/>
        <w:gridCol w:w="1700"/>
      </w:tblGrid>
      <w:tr>
        <w:tc>
          <w:tcPr>
            <w:tcW w:type="dxa" w:w="1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Revision No</w:t>
            </w:r>
          </w:p>
        </w:tc>
        <w:tc>
          <w:tcPr>
            <w:tcW w:type="dxa" w:w="3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Description</w:t>
            </w:r>
          </w:p>
        </w:tc>
        <w:tc>
          <w:tcPr>
            <w:tcW w:type="dxa" w:w="24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Prepared By</w:t>
            </w:r>
          </w:p>
        </w:tc>
        <w:tc>
          <w:tcPr>
            <w:tcW w:type="dxa" w:w="22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Reviewed / Approved By</w:t>
            </w:r>
          </w:p>
        </w:tc>
        <w:tc>
          <w:tcPr>
            <w:tcW w:type="dxa" w:w="17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 &amp; Date</w:t>
            </w:r>
          </w:p>
        </w:tc>
      </w:tr>
      <w:tr>
        <w:tc>
          <w:tcPr>
            <w:tcW w:type="dxa" w:w="1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0</w:t>
            </w:r>
          </w:p>
        </w:tc>
        <w:tc>
          <w:tcPr>
            <w:tcW w:type="dxa" w:w="3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Issued for Approval – SWDA Health Risk Assessment Procedure (Occupational Health &amp; Hygiene Monitoring Plan) covering the HRA methodology, health hazard inventory, atmospheric/noise monitoring, medical surveillance and hygiene monitoring programme</w:t>
            </w:r>
          </w:p>
        </w:tc>
        <w:tc>
          <w:tcPr>
            <w:tcW w:type="dxa" w:w="24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SWDA QA/QC &amp; HSE Team</w:t>
            </w:r>
          </w:p>
        </w:tc>
        <w:tc>
          <w:tcPr>
            <w:tcW w:type="dxa" w:w="22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6"/>
                <w:szCs w:val="16"/>
              </w:rPr>
              <w:t xml:space="preserve">Engr. Norton Ned Jessup, P.E.</w:t>
            </w:r>
          </w:p>
        </w:tc>
        <w:tc>
          <w:tcPr>
            <w:tcW w:type="dxa" w:w="1700"/>
            <w:tcBorders>
              <w:top w:val="dashed" w:color="9AA5B1" w:sz="6"/>
              <w:left w:val="dashed" w:color="9AA5B1" w:sz="6"/>
              <w:bottom w:val="dashed" w:color="9AA5B1" w:sz="6"/>
              <w:right w:val="dashed" w:color="9AA5B1" w:sz="6"/>
            </w:tcBorders>
            <w:shd w:fill="FFFFFF" w:val="clear"/>
            <w:tcMar>
              <w:top w:type="dxa" w:w="80"/>
              <w:left w:type="dxa" w:w="100"/>
              <w:bottom w:type="dxa" w:w="80"/>
              <w:right w:type="dxa" w:w="100"/>
            </w:tcMar>
            <w:vAlign w:val="center"/>
          </w:tcPr>
          <w:p>
            <w:pPr>
              <w:spacing w:after="30"/>
              <w:jc w:val="center"/>
            </w:pPr>
            <w:r>
              <w:rPr>
                <w:rFonts w:ascii="Calibri" w:cs="Calibri" w:eastAsia="Calibri" w:hAnsi="Calibri"/>
                <w:i/>
                <w:iCs/>
                <w:color w:val="8A94A3"/>
                <w:sz w:val="14"/>
                <w:szCs w:val="14"/>
              </w:rPr>
              <w:t xml:space="preserve">[Signature]</w:t>
            </w:r>
          </w:p>
          <w:p>
            <w:pPr>
              <w:spacing w:after="0"/>
              <w:jc w:val="center"/>
            </w:pPr>
            <w:r>
              <w:rPr>
                <w:rFonts w:ascii="Calibri" w:cs="Calibri" w:eastAsia="Calibri" w:hAnsi="Calibri"/>
                <w:i/>
                <w:iCs/>
                <w:color w:val="8A94A3"/>
                <w:sz w:val="14"/>
                <w:szCs w:val="14"/>
              </w:rPr>
              <w:t xml:space="preserve">[Date]</w:t>
            </w:r>
          </w:p>
        </w:tc>
      </w:tr>
    </w:tbl>
    <w:p>
      <w:pPr>
        <w:spacing w:after="200" w:before="3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0.2  Approval</w:t>
      </w:r>
    </w:p>
    <w:tbl>
      <w:tblPr>
        <w:tblW w:type="dxa" w:w="11100"/>
        <w:tblBorders>
          <w:top w:val="single" w:color="auto" w:sz="4"/>
          <w:left w:val="single" w:color="auto" w:sz="4"/>
          <w:bottom w:val="single" w:color="auto" w:sz="4"/>
          <w:right w:val="single" w:color="auto" w:sz="4"/>
          <w:insideH w:val="single" w:color="auto" w:sz="4"/>
          <w:insideV w:val="single" w:color="auto" w:sz="4"/>
        </w:tblBorders>
      </w:tblPr>
      <w:tblGrid>
        <w:gridCol w:w="3100"/>
        <w:gridCol w:w="3100"/>
        <w:gridCol w:w="3100"/>
        <w:gridCol w:w="1800"/>
      </w:tblGrid>
      <w:tr>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Originated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Checked By</w:t>
            </w:r>
          </w:p>
        </w:tc>
        <w:tc>
          <w:tcPr>
            <w:tcW w:type="dxa" w:w="3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Approved By</w:t>
            </w:r>
          </w:p>
        </w:tc>
        <w:tc>
          <w:tcPr>
            <w:tcW w:type="dxa" w:w="1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Signature</w:t>
            </w:r>
          </w:p>
        </w:tc>
      </w:tr>
      <w:tr>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Engr. Norton Ned Jessup, P.E.</w:t>
            </w:r>
          </w:p>
          <w:p>
            <w:pPr>
              <w:spacing w:after="40"/>
              <w:jc w:val="center"/>
            </w:pPr>
            <w:r>
              <w:rPr>
                <w:rFonts w:ascii="Calibri" w:cs="Calibri" w:eastAsia="Calibri" w:hAnsi="Calibri"/>
                <w:b w:val="false"/>
                <w:bCs w:val="false"/>
                <w:i/>
                <w:iCs/>
                <w:color w:val="1A1A1A"/>
                <w:sz w:val="15"/>
                <w:szCs w:val="15"/>
              </w:rPr>
              <w:t xml:space="preserve">Chief Operating Officer / Executive Director &amp; Project Director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WT/MI</w:t>
            </w:r>
          </w:p>
          <w:p>
            <w:pPr>
              <w:spacing w:after="40"/>
              <w:jc w:val="center"/>
            </w:pPr>
            <w:r>
              <w:rPr>
                <w:rFonts w:ascii="Calibri" w:cs="Calibri" w:eastAsia="Calibri" w:hAnsi="Calibri"/>
                <w:b w:val="false"/>
                <w:bCs w:val="false"/>
                <w:i/>
                <w:iCs/>
                <w:color w:val="1A1A1A"/>
                <w:sz w:val="15"/>
                <w:szCs w:val="15"/>
              </w:rPr>
              <w:t xml:space="preserve">Checker</w:t>
            </w:r>
          </w:p>
        </w:tc>
        <w:tc>
          <w:tcPr>
            <w:tcW w:type="dxa" w:w="3100"/>
            <w:shd w:fill="FFFFFF" w:val="clear"/>
            <w:tcMar>
              <w:top w:type="dxa" w:w="700"/>
              <w:left w:type="dxa" w:w="120"/>
              <w:bottom w:type="dxa" w:w="200"/>
              <w:right w:type="dxa" w:w="120"/>
            </w:tcMar>
            <w:vAlign w:val="center"/>
          </w:tcPr>
          <w:p>
            <w:pPr>
              <w:spacing w:after="40"/>
              <w:jc w:val="center"/>
            </w:pPr>
            <w:r>
              <w:rPr>
                <w:rFonts w:ascii="Calibri" w:cs="Calibri" w:eastAsia="Calibri" w:hAnsi="Calibri"/>
                <w:b/>
                <w:bCs/>
                <w:i w:val="false"/>
                <w:iCs w:val="false"/>
                <w:color w:val="1B2A4A"/>
                <w:sz w:val="18"/>
                <w:szCs w:val="18"/>
              </w:rPr>
              <w:t xml:space="preserve">Gliffeth Wonuigwe</w:t>
            </w:r>
          </w:p>
          <w:p>
            <w:pPr>
              <w:spacing w:after="40"/>
              <w:jc w:val="center"/>
            </w:pPr>
            <w:r>
              <w:rPr>
                <w:rFonts w:ascii="Calibri" w:cs="Calibri" w:eastAsia="Calibri" w:hAnsi="Calibri"/>
                <w:b w:val="false"/>
                <w:bCs w:val="false"/>
                <w:i/>
                <w:iCs/>
                <w:color w:val="1A1A1A"/>
                <w:sz w:val="15"/>
                <w:szCs w:val="15"/>
              </w:rPr>
              <w:t xml:space="preserve">Group Chief Executive Officer / Managing Director</w:t>
            </w:r>
          </w:p>
        </w:tc>
        <w:tc>
          <w:tcPr>
            <w:tcW w:type="dxa" w:w="1800"/>
            <w:tcBorders>
              <w:top w:val="dashed" w:color="9AA5B1" w:sz="6"/>
              <w:left w:val="dashed" w:color="9AA5B1" w:sz="6"/>
              <w:bottom w:val="dashed" w:color="9AA5B1" w:sz="6"/>
              <w:right w:val="dashed" w:color="9AA5B1" w:sz="6"/>
            </w:tcBorders>
            <w:shd w:fill="FFFFFF" w:val="clear"/>
            <w:tcMar>
              <w:top w:type="dxa" w:w="700"/>
              <w:left w:type="dxa" w:w="120"/>
              <w:bottom w:type="dxa" w:w="200"/>
              <w:right w:type="dxa" w:w="120"/>
            </w:tcMar>
            <w:vAlign w:val="center"/>
          </w:tcPr>
          <w:p>
            <w:pPr>
              <w:spacing w:after="30"/>
              <w:jc w:val="center"/>
            </w:pPr>
            <w:r>
              <w:rPr>
                <w:rFonts w:ascii="Calibri" w:cs="Calibri" w:eastAsia="Calibri" w:hAnsi="Calibri"/>
                <w:i/>
                <w:iCs/>
                <w:color w:val="8A94A3"/>
                <w:sz w:val="15"/>
                <w:szCs w:val="15"/>
              </w:rPr>
              <w:t xml:space="preserve">[Insert Signature]</w:t>
            </w:r>
          </w:p>
          <w:p>
            <w:pPr>
              <w:spacing w:after="0"/>
              <w:jc w:val="center"/>
            </w:pPr>
            <w:r>
              <w:rPr>
                <w:rFonts w:ascii="Calibri" w:cs="Calibri" w:eastAsia="Calibri" w:hAnsi="Calibri"/>
                <w:i/>
                <w:iCs/>
                <w:color w:val="8A94A3"/>
                <w:sz w:val="15"/>
                <w:szCs w:val="15"/>
              </w:rPr>
              <w:t xml:space="preserve">Date: __________</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Table of Contents</w:t>
      </w:r>
    </w:p>
    <w:p>
      <w:pPr>
        <w:tabs>
          <w:tab w:val="right" w:pos="9026" w:leader="dot"/>
        </w:tabs>
        <w:spacing w:after="130"/>
      </w:pPr>
      <w:r>
        <w:rPr>
          <w:rFonts w:ascii="Calibri" w:cs="Calibri" w:eastAsia="Calibri" w:hAnsi="Calibri"/>
          <w:color w:val="1A1A1A"/>
          <w:sz w:val="21"/>
          <w:szCs w:val="21"/>
        </w:rPr>
        <w:t xml:space="preserve">0.0  Document Control</w:t>
      </w:r>
      <w:r>
        <w:rPr>
          <w:rFonts w:ascii="Calibri" w:cs="Calibri" w:eastAsia="Calibri" w:hAnsi="Calibri"/>
          <w:color w:val="1A1A1A"/>
          <w:sz w:val="21"/>
          <w:szCs w:val="21"/>
        </w:rPr>
        <w:t xml:space="preserve">	2</w:t>
      </w:r>
    </w:p>
    <w:p>
      <w:pPr>
        <w:tabs>
          <w:tab w:val="right" w:pos="9026" w:leader="dot"/>
        </w:tabs>
        <w:spacing w:after="130"/>
      </w:pPr>
      <w:r>
        <w:rPr>
          <w:rFonts w:ascii="Calibri" w:cs="Calibri" w:eastAsia="Calibri" w:hAnsi="Calibri"/>
          <w:color w:val="1A1A1A"/>
          <w:sz w:val="21"/>
          <w:szCs w:val="21"/>
        </w:rPr>
        <w:t xml:space="preserve">1.0  Introduction &amp; Purpose</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2.0  Scope &amp; Applicability</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3.0  Health Risk Assessment (HRA) Methodology</w:t>
      </w:r>
      <w:r>
        <w:rPr>
          <w:rFonts w:ascii="Calibri" w:cs="Calibri" w:eastAsia="Calibri" w:hAnsi="Calibri"/>
          <w:color w:val="1A1A1A"/>
          <w:sz w:val="21"/>
          <w:szCs w:val="21"/>
        </w:rPr>
        <w:t xml:space="preserve">	4</w:t>
      </w:r>
    </w:p>
    <w:p>
      <w:pPr>
        <w:tabs>
          <w:tab w:val="right" w:pos="9026" w:leader="dot"/>
        </w:tabs>
        <w:spacing w:after="130"/>
      </w:pPr>
      <w:r>
        <w:rPr>
          <w:rFonts w:ascii="Calibri" w:cs="Calibri" w:eastAsia="Calibri" w:hAnsi="Calibri"/>
          <w:color w:val="1A1A1A"/>
          <w:sz w:val="21"/>
          <w:szCs w:val="21"/>
        </w:rPr>
        <w:t xml:space="preserve">4.0  Occupational Health Hazard Inventory</w:t>
      </w:r>
      <w:r>
        <w:rPr>
          <w:rFonts w:ascii="Calibri" w:cs="Calibri" w:eastAsia="Calibri" w:hAnsi="Calibri"/>
          <w:color w:val="1A1A1A"/>
          <w:sz w:val="21"/>
          <w:szCs w:val="21"/>
        </w:rPr>
        <w:t xml:space="preserve">	6</w:t>
      </w:r>
    </w:p>
    <w:p>
      <w:pPr>
        <w:tabs>
          <w:tab w:val="right" w:pos="9026" w:leader="dot"/>
        </w:tabs>
        <w:spacing w:after="130"/>
      </w:pPr>
      <w:r>
        <w:rPr>
          <w:rFonts w:ascii="Calibri" w:cs="Calibri" w:eastAsia="Calibri" w:hAnsi="Calibri"/>
          <w:color w:val="1A1A1A"/>
          <w:sz w:val="21"/>
          <w:szCs w:val="21"/>
        </w:rPr>
        <w:t xml:space="preserve">5.0  Atmospheric &amp; Gas Monitoring</w:t>
      </w:r>
      <w:r>
        <w:rPr>
          <w:rFonts w:ascii="Calibri" w:cs="Calibri" w:eastAsia="Calibri" w:hAnsi="Calibri"/>
          <w:color w:val="1A1A1A"/>
          <w:sz w:val="21"/>
          <w:szCs w:val="21"/>
        </w:rPr>
        <w:t xml:space="preserve">	7</w:t>
      </w:r>
    </w:p>
    <w:p>
      <w:pPr>
        <w:tabs>
          <w:tab w:val="right" w:pos="9026" w:leader="dot"/>
        </w:tabs>
        <w:spacing w:after="130"/>
      </w:pPr>
      <w:r>
        <w:rPr>
          <w:rFonts w:ascii="Calibri" w:cs="Calibri" w:eastAsia="Calibri" w:hAnsi="Calibri"/>
          <w:color w:val="1A1A1A"/>
          <w:sz w:val="21"/>
          <w:szCs w:val="21"/>
        </w:rPr>
        <w:t xml:space="preserve">6.0  Noise Monitoring &amp; Hearing Conservation</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7.0  Medical Surveillance &amp; Fit-for-Duty (FFD)</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8.0  Hygiene Monitoring Programme</w:t>
      </w:r>
      <w:r>
        <w:rPr>
          <w:rFonts w:ascii="Calibri" w:cs="Calibri" w:eastAsia="Calibri" w:hAnsi="Calibri"/>
          <w:color w:val="1A1A1A"/>
          <w:sz w:val="21"/>
          <w:szCs w:val="21"/>
        </w:rPr>
        <w:t xml:space="preserve">	8</w:t>
      </w:r>
    </w:p>
    <w:p>
      <w:pPr>
        <w:tabs>
          <w:tab w:val="right" w:pos="9026" w:leader="dot"/>
        </w:tabs>
        <w:spacing w:after="130"/>
      </w:pPr>
      <w:r>
        <w:rPr>
          <w:rFonts w:ascii="Calibri" w:cs="Calibri" w:eastAsia="Calibri" w:hAnsi="Calibri"/>
          <w:color w:val="1A1A1A"/>
          <w:sz w:val="21"/>
          <w:szCs w:val="21"/>
        </w:rPr>
        <w:t xml:space="preserve">9.0  HRA Review Process &amp; Certification</w:t>
      </w:r>
      <w:r>
        <w:rPr>
          <w:rFonts w:ascii="Calibri" w:cs="Calibri" w:eastAsia="Calibri" w:hAnsi="Calibri"/>
          <w:color w:val="1A1A1A"/>
          <w:sz w:val="21"/>
          <w:szCs w:val="21"/>
        </w:rPr>
        <w:t xml:space="preserve">	10</w:t>
      </w:r>
    </w:p>
    <w:p>
      <w:pPr>
        <w:tabs>
          <w:tab w:val="right" w:pos="9026" w:leader="dot"/>
        </w:tabs>
        <w:spacing w:after="130"/>
      </w:pPr>
      <w:r>
        <w:rPr>
          <w:rFonts w:ascii="Calibri" w:cs="Calibri" w:eastAsia="Calibri" w:hAnsi="Calibri"/>
          <w:color w:val="1A1A1A"/>
          <w:sz w:val="21"/>
          <w:szCs w:val="21"/>
        </w:rPr>
        <w:t xml:space="preserve">10.0  Roles &amp; Responsibilities</w:t>
      </w:r>
      <w:r>
        <w:rPr>
          <w:rFonts w:ascii="Calibri" w:cs="Calibri" w:eastAsia="Calibri" w:hAnsi="Calibri"/>
          <w:color w:val="1A1A1A"/>
          <w:sz w:val="21"/>
          <w:szCs w:val="21"/>
        </w:rPr>
        <w:t xml:space="preserve">	10</w:t>
      </w:r>
    </w:p>
    <w:p>
      <w:pPr>
        <w:tabs>
          <w:tab w:val="right" w:pos="9026" w:leader="dot"/>
        </w:tabs>
        <w:spacing w:after="130"/>
      </w:pPr>
      <w:r>
        <w:rPr>
          <w:rFonts w:ascii="Calibri" w:cs="Calibri" w:eastAsia="Calibri" w:hAnsi="Calibri"/>
          <w:color w:val="1A1A1A"/>
          <w:sz w:val="21"/>
          <w:szCs w:val="21"/>
        </w:rPr>
        <w:t xml:space="preserve">11.0  Records</w:t>
      </w:r>
      <w:r>
        <w:rPr>
          <w:rFonts w:ascii="Calibri" w:cs="Calibri" w:eastAsia="Calibri" w:hAnsi="Calibri"/>
          <w:color w:val="1A1A1A"/>
          <w:sz w:val="21"/>
          <w:szCs w:val="21"/>
        </w:rPr>
        <w:t xml:space="preserve">	11</w:t>
      </w:r>
    </w:p>
    <w:p>
      <w:pPr>
        <w:tabs>
          <w:tab w:val="right" w:pos="9026" w:leader="dot"/>
        </w:tabs>
        <w:spacing w:after="130"/>
      </w:pPr>
      <w:r>
        <w:rPr>
          <w:rFonts w:ascii="Calibri" w:cs="Calibri" w:eastAsia="Calibri" w:hAnsi="Calibri"/>
          <w:color w:val="1A1A1A"/>
          <w:sz w:val="21"/>
          <w:szCs w:val="21"/>
        </w:rPr>
        <w:t xml:space="preserve">12.0  Approval</w:t>
      </w:r>
      <w:r>
        <w:rPr>
          <w:rFonts w:ascii="Calibri" w:cs="Calibri" w:eastAsia="Calibri" w:hAnsi="Calibri"/>
          <w:color w:val="1A1A1A"/>
          <w:sz w:val="21"/>
          <w:szCs w:val="21"/>
        </w:rPr>
        <w:t xml:space="preserve">	12</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1.0  Introduction &amp; Purpose</w:t>
      </w:r>
    </w:p>
    <w:p>
      <w:pPr>
        <w:spacing w:after="120"/>
      </w:pPr>
      <w:r>
        <w:rPr>
          <w:rFonts w:ascii="Calibri" w:cs="Calibri" w:eastAsia="Calibri" w:hAnsi="Calibri"/>
          <w:color w:val="1A1A1A"/>
          <w:sz w:val="20"/>
          <w:szCs w:val="20"/>
        </w:rPr>
        <w:t xml:space="preserve">This procedure establishes South West Design Africa Limited's (SWDA) Health Risk Assessment (HRA) methodology and Occupational Health (OH) &amp; Hygiene Monitoring Plan for the Renaissance 18-Tank Automatic Tank Cleaning (ATC) and No-Man Entry (NME) Project (Contract/Tender Nos. CW-68582 and CW-515913), and is applicable across SWDA's wider project portfolio.</w:t>
      </w:r>
    </w:p>
    <w:p>
      <w:pPr>
        <w:spacing w:after="120"/>
      </w:pPr>
      <w:r>
        <w:rPr>
          <w:rFonts w:ascii="Calibri" w:cs="Calibri" w:eastAsia="Calibri" w:hAnsi="Calibri"/>
          <w:color w:val="1A1A1A"/>
          <w:sz w:val="20"/>
          <w:szCs w:val="20"/>
        </w:rPr>
        <w:t xml:space="preserve">The purpose of this procedure is to systematically identify occupational health hazards arising from SWDA's operations, assess the associated risk, define monitoring and surveillance arrangements to detect harmful exposure before it causes ill health, and set out the hygiene standards required to protect worker health and wellbeing on and around SWDA worksites and accommodation.</w:t>
      </w:r>
    </w:p>
    <w:p>
      <w:pPr>
        <w:pStyle w:val="Heading1"/>
        <w:pBdr>
          <w:bottom w:val="single" w:color="0F6C6C" w:sz="8" w:space="4"/>
        </w:pBdr>
        <w:spacing w:after="160" w:before="360"/>
      </w:pPr>
      <w:r>
        <w:rPr>
          <w:rFonts w:ascii="Calibri" w:cs="Calibri" w:eastAsia="Calibri" w:hAnsi="Calibri"/>
          <w:b/>
          <w:bCs/>
          <w:color w:val="1B2A4A"/>
          <w:sz w:val="28"/>
          <w:szCs w:val="28"/>
        </w:rPr>
        <w:t xml:space="preserve">2.0  Scope &amp; Applicability</w:t>
      </w:r>
    </w:p>
    <w:p>
      <w:pPr>
        <w:spacing w:after="120"/>
      </w:pPr>
      <w:r>
        <w:rPr>
          <w:rFonts w:ascii="Calibri" w:cs="Calibri" w:eastAsia="Calibri" w:hAnsi="Calibri"/>
          <w:color w:val="1A1A1A"/>
          <w:sz w:val="20"/>
          <w:szCs w:val="20"/>
        </w:rPr>
        <w:t xml:space="preserve">This procedure applies to all SWDA personnel, subcontractors and visitors, and covers:</w:t>
      </w:r>
    </w:p>
    <w:p>
      <w:pPr>
        <w:pStyle w:val="ListParagraph"/>
        <w:numPr>
          <w:ilvl w:val="0"/>
          <w:numId w:val="2"/>
        </w:numPr>
        <w:spacing w:after="80"/>
      </w:pPr>
      <w:r>
        <w:rPr>
          <w:rFonts w:ascii="Calibri" w:cs="Calibri" w:eastAsia="Calibri" w:hAnsi="Calibri"/>
          <w:color w:val="1A1A1A"/>
          <w:sz w:val="20"/>
          <w:szCs w:val="20"/>
        </w:rPr>
        <w:t xml:space="preserve">Health Risk Assessment (HRA) methodology and risk categorisation, aligned with the Project Execution &amp; Risk Management (PE&amp;RM) Plan risk matrix;</w:t>
      </w:r>
    </w:p>
    <w:p>
      <w:pPr>
        <w:pStyle w:val="ListParagraph"/>
        <w:numPr>
          <w:ilvl w:val="0"/>
          <w:numId w:val="2"/>
        </w:numPr>
        <w:spacing w:after="80"/>
      </w:pPr>
      <w:r>
        <w:rPr>
          <w:rFonts w:ascii="Calibri" w:cs="Calibri" w:eastAsia="Calibri" w:hAnsi="Calibri"/>
          <w:color w:val="1A1A1A"/>
          <w:sz w:val="20"/>
          <w:szCs w:val="20"/>
        </w:rPr>
        <w:t xml:space="preserve">Occupational health hazards specific to tank cleaning, confined space entry, and related site activities (atmospheric, chemical, noise, manual handling, weather/heat);</w:t>
      </w:r>
    </w:p>
    <w:p>
      <w:pPr>
        <w:pStyle w:val="ListParagraph"/>
        <w:numPr>
          <w:ilvl w:val="0"/>
          <w:numId w:val="2"/>
        </w:numPr>
        <w:spacing w:after="80"/>
      </w:pPr>
      <w:r>
        <w:rPr>
          <w:rFonts w:ascii="Calibri" w:cs="Calibri" w:eastAsia="Calibri" w:hAnsi="Calibri"/>
          <w:color w:val="1A1A1A"/>
          <w:sz w:val="20"/>
          <w:szCs w:val="20"/>
        </w:rPr>
        <w:t xml:space="preserve">Atmospheric and gas monitoring requirements (cross-referenced to the Permit to Work System and Confined Space Entry Procedure);</w:t>
      </w:r>
    </w:p>
    <w:p>
      <w:pPr>
        <w:pStyle w:val="ListParagraph"/>
        <w:numPr>
          <w:ilvl w:val="0"/>
          <w:numId w:val="2"/>
        </w:numPr>
        <w:spacing w:after="80"/>
      </w:pPr>
      <w:r>
        <w:rPr>
          <w:rFonts w:ascii="Calibri" w:cs="Calibri" w:eastAsia="Calibri" w:hAnsi="Calibri"/>
          <w:color w:val="1A1A1A"/>
          <w:sz w:val="20"/>
          <w:szCs w:val="20"/>
        </w:rPr>
        <w:t xml:space="preserve">Medical surveillance and Fit-for-Duty (FFD) requirements;</w:t>
      </w:r>
    </w:p>
    <w:p>
      <w:pPr>
        <w:pStyle w:val="ListParagraph"/>
        <w:numPr>
          <w:ilvl w:val="0"/>
          <w:numId w:val="2"/>
        </w:numPr>
        <w:spacing w:after="80"/>
      </w:pPr>
      <w:r>
        <w:rPr>
          <w:rFonts w:ascii="Calibri" w:cs="Calibri" w:eastAsia="Calibri" w:hAnsi="Calibri"/>
          <w:color w:val="1A1A1A"/>
          <w:sz w:val="20"/>
          <w:szCs w:val="20"/>
        </w:rPr>
        <w:t xml:space="preserve">Hygiene monitoring of canteen/catering, water supply, accommodation and waste management facilities.</w:t>
      </w:r>
    </w:p>
    <w:p>
      <w:pPr>
        <w:pStyle w:val="Heading1"/>
        <w:pBdr>
          <w:bottom w:val="single" w:color="0F6C6C" w:sz="8" w:space="4"/>
        </w:pBdr>
        <w:spacing w:after="160" w:before="360"/>
      </w:pPr>
      <w:r>
        <w:rPr>
          <w:rFonts w:ascii="Calibri" w:cs="Calibri" w:eastAsia="Calibri" w:hAnsi="Calibri"/>
          <w:b/>
          <w:bCs/>
          <w:color w:val="1B2A4A"/>
          <w:sz w:val="28"/>
          <w:szCs w:val="28"/>
        </w:rPr>
        <w:t xml:space="preserve">3.0  Health Risk Assessment (HRA) Methodology</w:t>
      </w:r>
    </w:p>
    <w:p>
      <w:pPr>
        <w:spacing w:after="120"/>
      </w:pPr>
      <w:r>
        <w:rPr>
          <w:rFonts w:ascii="Calibri" w:cs="Calibri" w:eastAsia="Calibri" w:hAnsi="Calibri"/>
          <w:color w:val="1A1A1A"/>
          <w:sz w:val="20"/>
          <w:szCs w:val="20"/>
        </w:rPr>
        <w:t xml:space="preserve">SWDA applies the following Risk Assessment Method Analysis to every identified occupational health hazard:</w:t>
      </w:r>
    </w:p>
    <w:p>
      <w:pPr>
        <w:pStyle w:val="ListParagraph"/>
        <w:numPr>
          <w:ilvl w:val="0"/>
          <w:numId w:val="3"/>
        </w:numPr>
        <w:spacing w:after="80"/>
      </w:pPr>
      <w:r>
        <w:rPr>
          <w:rFonts w:ascii="Calibri" w:cs="Calibri" w:eastAsia="Calibri" w:hAnsi="Calibri"/>
          <w:color w:val="1A1A1A"/>
          <w:sz w:val="20"/>
          <w:szCs w:val="20"/>
        </w:rPr>
        <w:t xml:space="preserve">Select the most realistic consequence.</w:t>
      </w:r>
    </w:p>
    <w:p>
      <w:pPr>
        <w:pStyle w:val="ListParagraph"/>
        <w:numPr>
          <w:ilvl w:val="0"/>
          <w:numId w:val="3"/>
        </w:numPr>
        <w:spacing w:after="80"/>
      </w:pPr>
      <w:r>
        <w:rPr>
          <w:rFonts w:ascii="Calibri" w:cs="Calibri" w:eastAsia="Calibri" w:hAnsi="Calibri"/>
          <w:color w:val="1A1A1A"/>
          <w:sz w:val="20"/>
          <w:szCs w:val="20"/>
        </w:rPr>
        <w:t xml:space="preserve">Select the likelihood of occurrence with the current controls in place.</w:t>
      </w:r>
    </w:p>
    <w:p>
      <w:pPr>
        <w:pStyle w:val="ListParagraph"/>
        <w:numPr>
          <w:ilvl w:val="0"/>
          <w:numId w:val="3"/>
        </w:numPr>
        <w:spacing w:after="80"/>
      </w:pPr>
      <w:r>
        <w:rPr>
          <w:rFonts w:ascii="Calibri" w:cs="Calibri" w:eastAsia="Calibri" w:hAnsi="Calibri"/>
          <w:color w:val="1A1A1A"/>
          <w:sz w:val="20"/>
          <w:szCs w:val="20"/>
        </w:rPr>
        <w:t xml:space="preserve">Determine the risk category from the risk matrix (Consequence × Likelihood).</w:t>
      </w:r>
    </w:p>
    <w:p>
      <w:pPr>
        <w:pStyle w:val="ListParagraph"/>
        <w:numPr>
          <w:ilvl w:val="0"/>
          <w:numId w:val="3"/>
        </w:numPr>
        <w:spacing w:after="80"/>
      </w:pPr>
      <w:r>
        <w:rPr>
          <w:rFonts w:ascii="Calibri" w:cs="Calibri" w:eastAsia="Calibri" w:hAnsi="Calibri"/>
          <w:color w:val="1A1A1A"/>
          <w:sz w:val="20"/>
          <w:szCs w:val="20"/>
        </w:rPr>
        <w:t xml:space="preserve">Achieve a Category I or II before proceeding with the task.</w:t>
      </w:r>
    </w:p>
    <w:p>
      <w:pPr>
        <w:pStyle w:val="ListParagraph"/>
        <w:numPr>
          <w:ilvl w:val="0"/>
          <w:numId w:val="3"/>
        </w:numPr>
        <w:spacing w:after="80"/>
      </w:pPr>
      <w:r>
        <w:rPr>
          <w:rFonts w:ascii="Calibri" w:cs="Calibri" w:eastAsia="Calibri" w:hAnsi="Calibri"/>
          <w:color w:val="1A1A1A"/>
          <w:sz w:val="20"/>
          <w:szCs w:val="20"/>
        </w:rPr>
        <w:t xml:space="preserve">Do not proceed with the task if the risk category is III or IV until further mitigation reduces it to Category II or below.</w:t>
      </w:r>
    </w:p>
    <w:p>
      <w:pPr>
        <w:pStyle w:val="Heading2"/>
        <w:spacing w:after="120" w:before="280"/>
      </w:pPr>
      <w:r>
        <w:rPr>
          <w:rFonts w:ascii="Calibri" w:cs="Calibri" w:eastAsia="Calibri" w:hAnsi="Calibri"/>
          <w:b/>
          <w:bCs/>
          <w:color w:val="0F6C6C"/>
          <w:sz w:val="24"/>
          <w:szCs w:val="24"/>
        </w:rPr>
        <w:t xml:space="preserve">3.1  Consequence &amp; Likelihood Scale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400"/>
        <w:gridCol w:w="5100"/>
        <w:gridCol w:w="3500"/>
      </w:tblGrid>
      <w:tr>
        <w:trPr>
          <w:tblHeader/>
        </w:trPr>
        <w:tc>
          <w:tcPr>
            <w:tcW w:type="dxa" w:w="14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Level</w:t>
            </w:r>
          </w:p>
        </w:tc>
        <w:tc>
          <w:tcPr>
            <w:tcW w:type="dxa" w:w="51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Consequence / Severity</w:t>
            </w:r>
          </w:p>
        </w:tc>
        <w:tc>
          <w:tcPr>
            <w:tcW w:type="dxa" w:w="3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Likelihood</w:t>
            </w:r>
          </w:p>
        </w:tc>
      </w:tr>
      <w:tr>
        <w:tc>
          <w:tcPr>
            <w:tcW w:type="dxa" w:w="14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5</w:t>
            </w:r>
          </w:p>
        </w:tc>
        <w:tc>
          <w:tcPr>
            <w:tcW w:type="dxa" w:w="51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Fatality, Public Hospitalization, or Severe Health Effects</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Frequent</w:t>
            </w:r>
          </w:p>
        </w:tc>
      </w:tr>
      <w:tr>
        <w:tc>
          <w:tcPr>
            <w:tcW w:type="dxa" w:w="14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4</w:t>
            </w:r>
          </w:p>
        </w:tc>
        <w:tc>
          <w:tcPr>
            <w:tcW w:type="dxa" w:w="51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Permanent Disability, Multiple Hospitalizations, or Major Health Effects</w:t>
            </w:r>
          </w:p>
        </w:tc>
        <w:tc>
          <w:tcPr>
            <w:tcW w:type="dxa" w:w="3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Probable</w:t>
            </w:r>
          </w:p>
        </w:tc>
      </w:tr>
      <w:tr>
        <w:tc>
          <w:tcPr>
            <w:tcW w:type="dxa" w:w="14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3</w:t>
            </w:r>
          </w:p>
        </w:tc>
        <w:tc>
          <w:tcPr>
            <w:tcW w:type="dxa" w:w="51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One or More Lost Time Workday Cases or Significant Health Effects</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Rare</w:t>
            </w:r>
          </w:p>
        </w:tc>
      </w:tr>
      <w:tr>
        <w:tc>
          <w:tcPr>
            <w:tcW w:type="dxa" w:w="14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2</w:t>
            </w:r>
          </w:p>
        </w:tc>
        <w:tc>
          <w:tcPr>
            <w:tcW w:type="dxa" w:w="51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Medical Treatment with Restricted Duty or Medium Health Effects</w:t>
            </w:r>
          </w:p>
        </w:tc>
        <w:tc>
          <w:tcPr>
            <w:tcW w:type="dxa" w:w="3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Remote</w:t>
            </w:r>
          </w:p>
        </w:tc>
      </w:tr>
      <w:tr>
        <w:tc>
          <w:tcPr>
            <w:tcW w:type="dxa" w:w="14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1</w:t>
            </w:r>
          </w:p>
        </w:tc>
        <w:tc>
          <w:tcPr>
            <w:tcW w:type="dxa" w:w="51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Medical Treatment, Minor Health Effects, First Aid Case, or Less</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Improbable</w:t>
            </w:r>
          </w:p>
        </w:tc>
      </w:tr>
    </w:tbl>
    <w:p>
      <w:pPr>
        <w:spacing w:before="2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3.2  Risk Categories &amp; Required Action</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5000"/>
      </w:tblGrid>
      <w:tr>
        <w:trPr>
          <w:tblHeader/>
        </w:trPr>
        <w:tc>
          <w:tcPr>
            <w:tcW w:type="dxa" w:w="2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Risk Category</w:t>
            </w:r>
          </w:p>
        </w:tc>
        <w:tc>
          <w:tcPr>
            <w:tcW w:type="dxa" w:w="25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Score Range</w:t>
            </w:r>
          </w:p>
        </w:tc>
        <w:tc>
          <w:tcPr>
            <w:tcW w:type="dxa" w:w="50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Required Action</w:t>
            </w:r>
          </w:p>
        </w:tc>
      </w:tr>
      <w:tr>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 (Low)</w:t>
            </w:r>
          </w:p>
        </w:tc>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1–4</w:t>
            </w:r>
          </w:p>
        </w:tc>
        <w:tc>
          <w:tcPr>
            <w:tcW w:type="dxa" w:w="5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No mitigation required</w:t>
            </w:r>
          </w:p>
        </w:tc>
      </w:tr>
      <w:tr>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II (Medium)</w:t>
            </w:r>
          </w:p>
        </w:tc>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5–10</w:t>
            </w:r>
          </w:p>
        </w:tc>
        <w:tc>
          <w:tcPr>
            <w:tcW w:type="dxa" w:w="5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Controls verified – As Low As Reasonably Practicable (ALARP)</w:t>
            </w:r>
          </w:p>
        </w:tc>
      </w:tr>
      <w:tr>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III (Significant)</w:t>
            </w:r>
          </w:p>
        </w:tc>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12–16</w:t>
            </w:r>
          </w:p>
        </w:tc>
        <w:tc>
          <w:tcPr>
            <w:tcW w:type="dxa" w:w="50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Mitigate with priority</w:t>
            </w:r>
          </w:p>
        </w:tc>
      </w:tr>
      <w:tr>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IV (High)</w:t>
            </w:r>
          </w:p>
        </w:tc>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val="false"/>
                <w:bCs w:val="false"/>
                <w:i w:val="false"/>
                <w:iCs w:val="false"/>
                <w:color w:val="1A1A1A"/>
                <w:sz w:val="15"/>
                <w:szCs w:val="15"/>
              </w:rPr>
              <w:t xml:space="preserve">17–25</w:t>
            </w:r>
          </w:p>
        </w:tc>
        <w:tc>
          <w:tcPr>
            <w:tcW w:type="dxa" w:w="50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Mitigate with highest priority</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4.0  Occupational Health Hazard Inventory</w:t>
      </w:r>
    </w:p>
    <w:p>
      <w:pPr>
        <w:spacing w:after="120"/>
      </w:pPr>
      <w:r>
        <w:rPr>
          <w:rFonts w:ascii="Calibri" w:cs="Calibri" w:eastAsia="Calibri" w:hAnsi="Calibri"/>
          <w:color w:val="1A1A1A"/>
          <w:sz w:val="20"/>
          <w:szCs w:val="20"/>
        </w:rPr>
        <w:t xml:space="preserve">The following occupational health hazards have been identified across SWDA's tank cleaning and related site operations, consolidated from the Project's Hazard &amp; Risk Assessment register:</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000"/>
        <w:gridCol w:w="2600"/>
        <w:gridCol w:w="2600"/>
        <w:gridCol w:w="2800"/>
      </w:tblGrid>
      <w:tr>
        <w:trPr>
          <w:tblHeader/>
        </w:trPr>
        <w:tc>
          <w:tcPr>
            <w:tcW w:type="dxa" w:w="20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OH Hazard</w:t>
            </w:r>
          </w:p>
        </w:tc>
        <w:tc>
          <w:tcPr>
            <w:tcW w:type="dxa" w:w="2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Potential Health Effect</w:t>
            </w:r>
          </w:p>
        </w:tc>
        <w:tc>
          <w:tcPr>
            <w:tcW w:type="dxa" w:w="26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Exposure Route / Activity</w:t>
            </w:r>
          </w:p>
        </w:tc>
        <w:tc>
          <w:tcPr>
            <w:tcW w:type="dxa" w:w="28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Existing Controls</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Oxygen Deficiency / Enrichment</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Hypoxia, impaired judgement, unconsciousness, death (deficiency); increased fire/explosion risk (enrichment)</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Confined space / tank entry, nitrogen purging</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4-Gas Detection, O₂ remote monitoring &amp; alarm, CSE Permit, no entry outside 19.8–21.5% O₂</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Flammable Atmosphere (LEL)</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Fire/explosion causing burns, fatality</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Tank interior, hydrocarbon vapour areas</w:t>
            </w:r>
          </w:p>
        </w:tc>
        <w:tc>
          <w:tcPr>
            <w:tcW w:type="dxa" w:w="2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Continuous LEL monitoring, entry only ≤5% LEL, stop work ≥10% LEL, ATEX equipment</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Hydrogen Sulfide (H₂S)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Asphyxiation, respiratory failure, death</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Tank interior, sludge handling, line breaking</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Fixed &amp; personal H₂S monitors/alarms, H₂S Awareness Training, Breathing Apparatus, Permit to Work</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Noise</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Noise-induced hearing loss</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Boiler, generator, compressor, pump operation</w:t>
            </w:r>
          </w:p>
        </w:tc>
        <w:tc>
          <w:tcPr>
            <w:tcW w:type="dxa" w:w="2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Hearing protection mandatory &gt;80 dB, permit conditions, site notices</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Hazardous Chemicals (cleaning agents, oils)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Skin/eye irritation, respiratory irritation, dermatitis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Tank cleaning chemicals, maintenance oils</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SDS available, UN-approved packaging, spill pallets/kits, chemical-resistant PPE, Hazardous Chemical Safety Awareness training</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Asbestos (suspected/confirmed)</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Asbestosis, mesothelioma, respiratory disease</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Legacy tank components, gaskets, insulation</w:t>
            </w:r>
          </w:p>
        </w:tc>
        <w:tc>
          <w:tcPr>
            <w:tcW w:type="dxa" w:w="2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Asbestos Register &amp; Management Plan, RPE with face-fit testing, Decon Unit/Enclosure, immediate work stoppage on suspicion</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Manual Handling</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Musculoskeletal disorders, strains, sprains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Lifting, carrying, equipment handling</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Manual handling training, mechanical aids, load assessment prior to lifting</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Heat / Weather Exposure</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Heat stress, dehydration, hypothermia (rain), UV exposure</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Outdoor tank site work, tropical/riverine climate</w:t>
            </w:r>
          </w:p>
        </w:tc>
        <w:tc>
          <w:tcPr>
            <w:tcW w:type="dxa" w:w="2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Daily weather reports, hydration provisions, rain gear, work scheduling/suspension in severe weather</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Vibration (tools, vehicles)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Hand-arm vibration syndrome, whole-body vibration effects</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Powered hand tools, vehicle/vessel transport</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Tool maintenance, task rotation, ergonomic equipment selection</w:t>
            </w:r>
          </w:p>
        </w:tc>
      </w:tr>
      <w:tr>
        <w:tc>
          <w:tcPr>
            <w:tcW w:type="dxa" w:w="2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Biological / Sanitation Hazards</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Gastrointestinal illness, waterborne disease, vector-borne disease</w:t>
            </w:r>
          </w:p>
        </w:tc>
        <w:tc>
          <w:tcPr>
            <w:tcW w:type="dxa" w:w="26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Accommodation, catering, wastewater exposure</w:t>
            </w:r>
          </w:p>
        </w:tc>
        <w:tc>
          <w:tcPr>
            <w:tcW w:type="dxa" w:w="28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Potable water testing, canteen hygiene inspections, pest control, wastewater treatment compliance</w:t>
            </w:r>
          </w:p>
        </w:tc>
      </w:tr>
      <w:tr>
        <w:tc>
          <w:tcPr>
            <w:tcW w:type="dxa" w:w="2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B2A4A"/>
                <w:sz w:val="14"/>
                <w:szCs w:val="14"/>
              </w:rPr>
              <w:t xml:space="preserve">Fatigue / Sleep Deprivation</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Impaired judgement, increased incident risk</w:t>
            </w:r>
          </w:p>
        </w:tc>
        <w:tc>
          <w:tcPr>
            <w:tcW w:type="dxa" w:w="26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Shift work, travel time, night operations</w:t>
            </w:r>
          </w:p>
        </w:tc>
        <w:tc>
          <w:tcPr>
            <w:tcW w:type="dxa" w:w="28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4"/>
                <w:szCs w:val="14"/>
              </w:rPr>
              <w:t xml:space="preserve">Shift planning factoring travel time, minimum 7-hour sleep target, worker surveys</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5.0  Atmospheric &amp; Gas Monitoring</w:t>
      </w:r>
    </w:p>
    <w:p>
      <w:pPr>
        <w:spacing w:after="120"/>
      </w:pPr>
      <w:r>
        <w:rPr>
          <w:rFonts w:ascii="Calibri" w:cs="Calibri" w:eastAsia="Calibri" w:hAnsi="Calibri"/>
          <w:color w:val="1A1A1A"/>
          <w:sz w:val="20"/>
          <w:szCs w:val="20"/>
        </w:rPr>
        <w:t xml:space="preserve">Atmospheric monitoring is the primary means of preventing acute occupational exposure to oxygen deficiency/enrichment, flammable atmospheres and H₂S. Monitoring requirements and equipment calibration are governed jointly by this procedure and the SWDA Permit to Work System.</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2500"/>
        <w:gridCol w:w="2500"/>
        <w:gridCol w:w="2500"/>
      </w:tblGrid>
      <w:tr>
        <w:trPr>
          <w:tblHeader/>
        </w:trPr>
        <w:tc>
          <w:tcPr>
            <w:tcW w:type="dxa" w:w="25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Parameter</w:t>
            </w:r>
          </w:p>
        </w:tc>
        <w:tc>
          <w:tcPr>
            <w:tcW w:type="dxa" w:w="25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Safe Range</w:t>
            </w:r>
          </w:p>
        </w:tc>
        <w:tc>
          <w:tcPr>
            <w:tcW w:type="dxa" w:w="25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Caution</w:t>
            </w:r>
          </w:p>
        </w:tc>
        <w:tc>
          <w:tcPr>
            <w:tcW w:type="dxa" w:w="2500"/>
            <w:shd w:fill="1B2A4A"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FFFFFF"/>
                <w:sz w:val="16"/>
                <w:szCs w:val="16"/>
              </w:rPr>
              <w:t xml:space="preserve">Stop-Work / Evacuate</w:t>
            </w:r>
          </w:p>
        </w:tc>
      </w:tr>
      <w:tr>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Oxygen (O₂)</w:t>
            </w:r>
          </w:p>
        </w:tc>
        <w:tc>
          <w:tcPr>
            <w:tcW w:type="dxa" w:w="2500"/>
            <w:shd w:fill="DDF0DD"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E6B1E"/>
                <w:sz w:val="15"/>
                <w:szCs w:val="15"/>
              </w:rPr>
              <w:t xml:space="preserve">19.8% – 21.5%</w:t>
            </w:r>
          </w:p>
        </w:tc>
        <w:tc>
          <w:tcPr>
            <w:tcW w:type="dxa" w:w="2500"/>
            <w:shd w:fill="FFF4D6"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8A6300"/>
                <w:sz w:val="15"/>
                <w:szCs w:val="15"/>
              </w:rPr>
              <w:t xml:space="preserve">Deficient: 15–19.8% – early hypoxia symptoms</w:t>
            </w:r>
          </w:p>
        </w:tc>
        <w:tc>
          <w:tcPr>
            <w:tcW w:type="dxa" w:w="2500"/>
            <w:shd w:fill="FBDCDC"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A32020"/>
                <w:sz w:val="15"/>
                <w:szCs w:val="15"/>
              </w:rPr>
              <w:t xml:space="preserve">&lt; 15% or &gt; 21.5% – do not enter / withdraw</w:t>
            </w:r>
          </w:p>
        </w:tc>
      </w:tr>
      <w:tr>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Flammable Gas (LEL)</w:t>
            </w:r>
          </w:p>
        </w:tc>
        <w:tc>
          <w:tcPr>
            <w:tcW w:type="dxa" w:w="2500"/>
            <w:shd w:fill="DDF0DD"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E6B1E"/>
                <w:sz w:val="15"/>
                <w:szCs w:val="15"/>
              </w:rPr>
              <w:t xml:space="preserve">0% – 5%</w:t>
            </w:r>
          </w:p>
        </w:tc>
        <w:tc>
          <w:tcPr>
            <w:tcW w:type="dxa" w:w="2500"/>
            <w:shd w:fill="FFF4D6"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8A6300"/>
                <w:sz w:val="15"/>
                <w:szCs w:val="15"/>
              </w:rPr>
              <w:t xml:space="preserve">≥ 5% – enhanced monitoring, entry by exception only</w:t>
            </w:r>
          </w:p>
        </w:tc>
        <w:tc>
          <w:tcPr>
            <w:tcW w:type="dxa" w:w="2500"/>
            <w:shd w:fill="FBDCDC"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A32020"/>
                <w:sz w:val="15"/>
                <w:szCs w:val="15"/>
              </w:rPr>
              <w:t xml:space="preserve">≥ 10% – stop work, withdraw, vent</w:t>
            </w:r>
          </w:p>
        </w:tc>
      </w:tr>
      <w:tr>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Hydrogen Sulfide (H₂S)</w:t>
            </w:r>
          </w:p>
        </w:tc>
        <w:tc>
          <w:tcPr>
            <w:tcW w:type="dxa" w:w="2500"/>
            <w:shd w:fill="DDF0DD"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E6B1E"/>
                <w:sz w:val="15"/>
                <w:szCs w:val="15"/>
              </w:rPr>
              <w:t xml:space="preserve">0 – 5 ppm</w:t>
            </w:r>
          </w:p>
        </w:tc>
        <w:tc>
          <w:tcPr>
            <w:tcW w:type="dxa" w:w="2500"/>
            <w:shd w:fill="FFF4D6"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8A6300"/>
                <w:sz w:val="15"/>
                <w:szCs w:val="15"/>
              </w:rPr>
              <w:t xml:space="preserve">Approaching 5 ppm – don Breathing Apparatus</w:t>
            </w:r>
          </w:p>
        </w:tc>
        <w:tc>
          <w:tcPr>
            <w:tcW w:type="dxa" w:w="2500"/>
            <w:shd w:fill="FBDCDC"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A32020"/>
                <w:sz w:val="15"/>
                <w:szCs w:val="15"/>
              </w:rPr>
              <w:t xml:space="preserve">Alarm activation – evacuate immediately</w:t>
            </w:r>
          </w:p>
        </w:tc>
      </w:tr>
    </w:tbl>
    <w:p>
      <w:pPr>
        <w:spacing w:before="200"/>
      </w:pPr>
      <w:r>
        <w:rPr>
          <w:rFonts w:ascii="Calibri" w:cs="Calibri" w:eastAsia="Calibri" w:hAnsi="Calibri"/>
          <w:color w:val="1A1A1A"/>
          <w:sz w:val="20"/>
          <w:szCs w:val="20"/>
        </w:rPr>
        <w:t xml:space="preserve"/>
      </w:r>
    </w:p>
    <w:p>
      <w:pPr>
        <w:pStyle w:val="Heading2"/>
        <w:spacing w:after="120" w:before="280"/>
      </w:pPr>
      <w:r>
        <w:rPr>
          <w:rFonts w:ascii="Calibri" w:cs="Calibri" w:eastAsia="Calibri" w:hAnsi="Calibri"/>
          <w:b/>
          <w:bCs/>
          <w:color w:val="0F6C6C"/>
          <w:sz w:val="24"/>
          <w:szCs w:val="24"/>
        </w:rPr>
        <w:t xml:space="preserve">5.1  Oxygen Deficiency – Health Effects Reference</w:t>
      </w:r>
    </w:p>
    <w:p>
      <w:pPr>
        <w:spacing w:after="120"/>
      </w:pPr>
      <w:r>
        <w:rPr>
          <w:rFonts w:ascii="Calibri" w:cs="Calibri" w:eastAsia="Calibri" w:hAnsi="Calibri"/>
          <w:color w:val="1A1A1A"/>
          <w:sz w:val="20"/>
          <w:szCs w:val="20"/>
        </w:rPr>
        <w:t xml:space="preserve">Lack of oxygen leads very quickly to unconsciousness and death; the reference below is used by HSE and medical personnel to interpret gas readings and guide emergency response: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500"/>
        <w:gridCol w:w="7500"/>
      </w:tblGrid>
      <w:tr>
        <w:trPr>
          <w:tblHeader/>
        </w:trPr>
        <w:tc>
          <w:tcPr>
            <w:tcW w:type="dxa" w:w="2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O₂ Level</w:t>
            </w:r>
          </w:p>
        </w:tc>
        <w:tc>
          <w:tcPr>
            <w:tcW w:type="dxa" w:w="7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5"/>
                <w:szCs w:val="15"/>
              </w:rPr>
              <w:t xml:space="preserve">Physiological Effect</w:t>
            </w:r>
          </w:p>
        </w:tc>
      </w:tr>
      <w:tr>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23%+</w:t>
            </w:r>
          </w:p>
        </w:tc>
        <w:tc>
          <w:tcPr>
            <w:tcW w:type="dxa" w:w="7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Oxygen-enriched atmosphere – increased fire/explosion risk</w:t>
            </w:r>
          </w:p>
        </w:tc>
      </w:tr>
      <w:tr>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20.8%</w:t>
            </w:r>
          </w:p>
        </w:tc>
        <w:tc>
          <w:tcPr>
            <w:tcW w:type="dxa" w:w="7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Normal level – safe for entry (± 0.2%)</w:t>
            </w:r>
          </w:p>
        </w:tc>
      </w:tr>
      <w:tr>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15–19.8%</w:t>
            </w:r>
          </w:p>
        </w:tc>
        <w:tc>
          <w:tcPr>
            <w:tcW w:type="dxa" w:w="7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Oxygen-deficient – first signs of hypoxia, decreased ability to work strenuously; may induce early coronary/pulmonary symptoms</w:t>
            </w:r>
          </w:p>
        </w:tc>
      </w:tr>
      <w:tr>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12–14%</w:t>
            </w:r>
          </w:p>
        </w:tc>
        <w:tc>
          <w:tcPr>
            <w:tcW w:type="dxa" w:w="7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Impaired judgement and breathing; impaired muscle coordination</w:t>
            </w:r>
          </w:p>
        </w:tc>
      </w:tr>
      <w:tr>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10–12%</w:t>
            </w:r>
          </w:p>
        </w:tc>
        <w:tc>
          <w:tcPr>
            <w:tcW w:type="dxa" w:w="7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Rapid fatigue, faulty judgement, blue lips</w:t>
            </w:r>
          </w:p>
        </w:tc>
      </w:tr>
      <w:tr>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8–10%</w:t>
            </w:r>
          </w:p>
        </w:tc>
        <w:tc>
          <w:tcPr>
            <w:tcW w:type="dxa" w:w="7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Mental failure, fainting, unconsciousness, ashen face, blue lips, nausea</w:t>
            </w:r>
          </w:p>
        </w:tc>
      </w:tr>
      <w:tr>
        <w:tc>
          <w:tcPr>
            <w:tcW w:type="dxa" w:w="2500"/>
            <w:shd w:fill="FFFFFF"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6–8%</w:t>
            </w:r>
          </w:p>
        </w:tc>
        <w:tc>
          <w:tcPr>
            <w:tcW w:type="dxa" w:w="7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6 minutes = 50% probability of death; 8 minutes = 100% probability of death</w:t>
            </w:r>
          </w:p>
        </w:tc>
      </w:tr>
      <w:tr>
        <w:tc>
          <w:tcPr>
            <w:tcW w:type="dxa" w:w="2500"/>
            <w:shd w:fill="E8F2F1" w:val="clear"/>
            <w:tcMar>
              <w:top w:type="dxa" w:w="80"/>
              <w:left w:type="dxa" w:w="100"/>
              <w:bottom w:type="dxa" w:w="80"/>
              <w:right w:type="dxa" w:w="100"/>
            </w:tcMar>
            <w:vAlign w:val="center"/>
          </w:tcPr>
          <w:p>
            <w:pPr>
              <w:spacing w:after="0"/>
              <w:jc w:val="center"/>
            </w:pPr>
            <w:r>
              <w:rPr>
                <w:rFonts w:ascii="Calibri" w:cs="Calibri" w:eastAsia="Calibri" w:hAnsi="Calibri"/>
                <w:b/>
                <w:bCs/>
                <w:i w:val="false"/>
                <w:iCs w:val="false"/>
                <w:color w:val="1A1A1A"/>
                <w:sz w:val="15"/>
                <w:szCs w:val="15"/>
              </w:rPr>
              <w:t xml:space="preserve">4–6%</w:t>
            </w:r>
          </w:p>
        </w:tc>
        <w:tc>
          <w:tcPr>
            <w:tcW w:type="dxa" w:w="7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Coma in 40 seconds, convulsions, respiration ceases, death</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6.0  Noise Monitoring &amp; Hearing Conservation</w:t>
      </w:r>
    </w:p>
    <w:p>
      <w:pPr>
        <w:pStyle w:val="ListParagraph"/>
        <w:numPr>
          <w:ilvl w:val="0"/>
          <w:numId w:val="2"/>
        </w:numPr>
        <w:spacing w:after="80"/>
      </w:pPr>
      <w:r>
        <w:rPr>
          <w:rFonts w:ascii="Calibri" w:cs="Calibri" w:eastAsia="Calibri" w:hAnsi="Calibri"/>
          <w:color w:val="1A1A1A"/>
          <w:sz w:val="20"/>
          <w:szCs w:val="20"/>
        </w:rPr>
        <w:t xml:space="preserve">Noise levels are monitored in areas with boilers, generators, compressors, pumps and similar plant; hearing protection (ear muffs or plugs) is mandatory wherever noise exceeds 80 dB.</w:t>
      </w:r>
    </w:p>
    <w:p>
      <w:pPr>
        <w:pStyle w:val="ListParagraph"/>
        <w:numPr>
          <w:ilvl w:val="0"/>
          <w:numId w:val="2"/>
        </w:numPr>
        <w:spacing w:after="80"/>
      </w:pPr>
      <w:r>
        <w:rPr>
          <w:rFonts w:ascii="Calibri" w:cs="Calibri" w:eastAsia="Calibri" w:hAnsi="Calibri"/>
          <w:color w:val="1A1A1A"/>
          <w:sz w:val="20"/>
          <w:szCs w:val="20"/>
        </w:rPr>
        <w:t xml:space="preserve">Noise monitoring findings are incorporated into the Site-Specific HSE Plan (SSHSEP) and communicated via site notices and toolbox talks.</w:t>
      </w:r>
    </w:p>
    <w:p>
      <w:pPr>
        <w:pStyle w:val="ListParagraph"/>
        <w:numPr>
          <w:ilvl w:val="0"/>
          <w:numId w:val="2"/>
        </w:numPr>
        <w:spacing w:after="80"/>
      </w:pPr>
      <w:r>
        <w:rPr>
          <w:rFonts w:ascii="Calibri" w:cs="Calibri" w:eastAsia="Calibri" w:hAnsi="Calibri"/>
          <w:color w:val="1A1A1A"/>
          <w:sz w:val="20"/>
          <w:szCs w:val="20"/>
        </w:rPr>
        <w:t xml:space="preserve">Workers in identified high-noise areas are included in SWDA's hearing conservation programme, with baseline and periodic audiometric assessment recommended as part of medical surveillance (Section 7.0).</w:t>
      </w:r>
    </w:p>
    <w:p>
      <w:pPr>
        <w:pStyle w:val="ListParagraph"/>
        <w:numPr>
          <w:ilvl w:val="0"/>
          <w:numId w:val="2"/>
        </w:numPr>
        <w:spacing w:after="80"/>
      </w:pPr>
      <w:r>
        <w:rPr>
          <w:rFonts w:ascii="Calibri" w:cs="Calibri" w:eastAsia="Calibri" w:hAnsi="Calibri"/>
          <w:color w:val="1A1A1A"/>
          <w:sz w:val="20"/>
          <w:szCs w:val="20"/>
        </w:rPr>
        <w:t xml:space="preserve">Engineering and administrative controls (equipment maintenance, enclosure, task rotation, work scheduling) are applied ahead of reliance on hearing protection alone, per the Hierarchy of Controls in the SWDA PPE Procedure.</w:t>
      </w:r>
    </w:p>
    <w:p>
      <w:pPr>
        <w:pStyle w:val="Heading1"/>
        <w:pBdr>
          <w:bottom w:val="single" w:color="0F6C6C" w:sz="8" w:space="4"/>
        </w:pBdr>
        <w:spacing w:after="160" w:before="360"/>
      </w:pPr>
      <w:r>
        <w:rPr>
          <w:rFonts w:ascii="Calibri" w:cs="Calibri" w:eastAsia="Calibri" w:hAnsi="Calibri"/>
          <w:b/>
          <w:bCs/>
          <w:color w:val="1B2A4A"/>
          <w:sz w:val="28"/>
          <w:szCs w:val="28"/>
        </w:rPr>
        <w:t xml:space="preserve">7.0  Medical Surveillance &amp; Fit-for-Duty (FFD)</w:t>
      </w:r>
    </w:p>
    <w:p>
      <w:pPr>
        <w:pStyle w:val="ListParagraph"/>
        <w:numPr>
          <w:ilvl w:val="0"/>
          <w:numId w:val="2"/>
        </w:numPr>
        <w:spacing w:after="80"/>
      </w:pPr>
      <w:r>
        <w:rPr>
          <w:rFonts w:ascii="Calibri" w:cs="Calibri" w:eastAsia="Calibri" w:hAnsi="Calibri"/>
          <w:color w:val="1A1A1A"/>
          <w:sz w:val="20"/>
          <w:szCs w:val="20"/>
        </w:rPr>
        <w:t xml:space="preserve">All personnel deployed to any SWDA project site must have a Medical Fitness (Fit-For-Duty – FFD) test completed at an SPDC-approved (or equivalent client-approved) hospital prior to mobilisation.</w:t>
      </w:r>
    </w:p>
    <w:p>
      <w:pPr>
        <w:pStyle w:val="ListParagraph"/>
        <w:numPr>
          <w:ilvl w:val="0"/>
          <w:numId w:val="2"/>
        </w:numPr>
        <w:spacing w:after="80"/>
      </w:pPr>
      <w:r>
        <w:rPr>
          <w:rFonts w:ascii="Calibri" w:cs="Calibri" w:eastAsia="Calibri" w:hAnsi="Calibri"/>
          <w:color w:val="1A1A1A"/>
          <w:sz w:val="20"/>
          <w:szCs w:val="20"/>
        </w:rPr>
        <w:t xml:space="preserve">FFD medical examinations are repeated at a defined periodic interval (typically annual – to be confirmed against SWDA's occupational health provider schedule) and following any extended absence due to illness or injury.</w:t>
      </w:r>
    </w:p>
    <w:p>
      <w:pPr>
        <w:pStyle w:val="ListParagraph"/>
        <w:numPr>
          <w:ilvl w:val="0"/>
          <w:numId w:val="2"/>
        </w:numPr>
        <w:spacing w:after="80"/>
      </w:pPr>
      <w:r>
        <w:rPr>
          <w:rFonts w:ascii="Calibri" w:cs="Calibri" w:eastAsia="Calibri" w:hAnsi="Calibri"/>
          <w:color w:val="1A1A1A"/>
          <w:sz w:val="20"/>
          <w:szCs w:val="20"/>
        </w:rPr>
        <w:t xml:space="preserve">Employee health, medical and occupational exposure records are maintained and retained as necessary, with appropriate confidentiality, consistent with the HSE Plan's records requirements.</w:t>
      </w:r>
    </w:p>
    <w:p>
      <w:pPr>
        <w:pStyle w:val="ListParagraph"/>
        <w:numPr>
          <w:ilvl w:val="0"/>
          <w:numId w:val="2"/>
        </w:numPr>
        <w:spacing w:after="80"/>
      </w:pPr>
      <w:r>
        <w:rPr>
          <w:rFonts w:ascii="Calibri" w:cs="Calibri" w:eastAsia="Calibri" w:hAnsi="Calibri"/>
          <w:color w:val="1A1A1A"/>
          <w:sz w:val="20"/>
          <w:szCs w:val="20"/>
        </w:rPr>
        <w:t xml:space="preserve">An On-Site Field Nurse / First Aid Responder is deployed to each active site, supported by a stocked First Aid Box and Emergency Eye Wash Stations.</w:t>
      </w:r>
    </w:p>
    <w:p>
      <w:pPr>
        <w:pStyle w:val="ListParagraph"/>
        <w:numPr>
          <w:ilvl w:val="0"/>
          <w:numId w:val="2"/>
        </w:numPr>
        <w:spacing w:after="80"/>
      </w:pPr>
      <w:r>
        <w:rPr>
          <w:rFonts w:ascii="Calibri" w:cs="Calibri" w:eastAsia="Calibri" w:hAnsi="Calibri"/>
          <w:color w:val="1A1A1A"/>
          <w:sz w:val="20"/>
          <w:szCs w:val="20"/>
        </w:rPr>
        <w:t xml:space="preserve">Personnel exposed to specific occupational health hazards (noise, H₂S risk areas, asbestos-risk tasks) are prioritised for periodic health surveillance appropriate to that exposure (e.g. audiometric testing, respiratory health screening) as part of the OH programme.</w:t>
      </w:r>
    </w:p>
    <w:p>
      <w:pPr>
        <w:pBdr>
          <w:left w:val="single" w:color="B8944F" w:sz="16" w:space="8"/>
        </w:pBdr>
        <w:shd w:fill="FFF4E0" w:val="clear"/>
        <w:spacing w:after="160" w:before="80"/>
        <w:ind w:left="120"/>
      </w:pPr>
      <w:r>
        <w:rPr>
          <w:rFonts w:ascii="Calibri" w:cs="Calibri" w:eastAsia="Calibri" w:hAnsi="Calibri"/>
          <w:b/>
          <w:bCs/>
          <w:color w:val="B8944F"/>
          <w:sz w:val="19"/>
          <w:szCs w:val="19"/>
        </w:rPr>
        <w:t xml:space="preserve">NOTE FOR SWDA REVIEW: </w:t>
      </w:r>
      <w:r>
        <w:rPr>
          <w:rFonts w:ascii="Calibri" w:cs="Calibri" w:eastAsia="Calibri" w:hAnsi="Calibri"/>
          <w:i/>
          <w:iCs/>
          <w:color w:val="1A1A1A"/>
          <w:sz w:val="19"/>
          <w:szCs w:val="19"/>
        </w:rPr>
        <w:t xml:space="preserve">The precise periodicity of FFD renewal and any task-specific health surveillance (audiometric testing intervals, respiratory screening intervals) was not explicitly stated in the uploaded source documents and should be confirmed against SWDA's occupational health provider protocols before this section is treated as final.</w:t>
      </w:r>
    </w:p>
    <w:p>
      <w:pPr>
        <w:pStyle w:val="Heading1"/>
        <w:pBdr>
          <w:bottom w:val="single" w:color="0F6C6C" w:sz="8" w:space="4"/>
        </w:pBdr>
        <w:spacing w:after="160" w:before="360"/>
      </w:pPr>
      <w:r>
        <w:rPr>
          <w:rFonts w:ascii="Calibri" w:cs="Calibri" w:eastAsia="Calibri" w:hAnsi="Calibri"/>
          <w:b/>
          <w:bCs/>
          <w:color w:val="1B2A4A"/>
          <w:sz w:val="28"/>
          <w:szCs w:val="28"/>
        </w:rPr>
        <w:t xml:space="preserve">8.0  Hygiene Monitoring Programme</w:t>
      </w:r>
    </w:p>
    <w:p>
      <w:pPr>
        <w:pStyle w:val="Heading2"/>
        <w:spacing w:after="120" w:before="280"/>
      </w:pPr>
      <w:r>
        <w:rPr>
          <w:rFonts w:ascii="Calibri" w:cs="Calibri" w:eastAsia="Calibri" w:hAnsi="Calibri"/>
          <w:b/>
          <w:bCs/>
          <w:color w:val="0F6C6C"/>
          <w:sz w:val="24"/>
          <w:szCs w:val="24"/>
        </w:rPr>
        <w:t xml:space="preserve">8.1  Catering &amp; Canteen Hygiene</w:t>
      </w:r>
    </w:p>
    <w:p>
      <w:pPr>
        <w:pStyle w:val="ListParagraph"/>
        <w:numPr>
          <w:ilvl w:val="0"/>
          <w:numId w:val="2"/>
        </w:numPr>
        <w:spacing w:after="80"/>
      </w:pPr>
      <w:r>
        <w:rPr>
          <w:rFonts w:ascii="Calibri" w:cs="Calibri" w:eastAsia="Calibri" w:hAnsi="Calibri"/>
          <w:color w:val="1A1A1A"/>
          <w:sz w:val="20"/>
          <w:szCs w:val="20"/>
        </w:rPr>
        <w:t xml:space="preserve">Canteen facilities are sized adequately for the workforce, with clean, sanitary and operational equipment; food safety and hygiene standards are verified through regular third-party kitchen inspections (minimum monthly), with inspection reports filed.</w:t>
      </w:r>
    </w:p>
    <w:p>
      <w:pPr>
        <w:pStyle w:val="ListParagraph"/>
        <w:numPr>
          <w:ilvl w:val="0"/>
          <w:numId w:val="2"/>
        </w:numPr>
        <w:spacing w:after="80"/>
      </w:pPr>
      <w:r>
        <w:rPr>
          <w:rFonts w:ascii="Calibri" w:cs="Calibri" w:eastAsia="Calibri" w:hAnsi="Calibri"/>
          <w:color w:val="1A1A1A"/>
          <w:sz w:val="20"/>
          <w:szCs w:val="20"/>
        </w:rPr>
        <w:t xml:space="preserve">A healthy variety of food options (minimum 3 daily) is offered, meeting sufficient quality and quantity standards; specific dietary requirements are incorporated into catering specifications.</w:t>
      </w:r>
    </w:p>
    <w:p>
      <w:pPr>
        <w:pStyle w:val="Heading2"/>
        <w:spacing w:after="120" w:before="280"/>
      </w:pPr>
      <w:r>
        <w:rPr>
          <w:rFonts w:ascii="Calibri" w:cs="Calibri" w:eastAsia="Calibri" w:hAnsi="Calibri"/>
          <w:b/>
          <w:bCs/>
          <w:color w:val="0F6C6C"/>
          <w:sz w:val="24"/>
          <w:szCs w:val="24"/>
        </w:rPr>
        <w:t xml:space="preserve">8.2  Water Quality</w:t>
      </w:r>
    </w:p>
    <w:p>
      <w:pPr>
        <w:pStyle w:val="ListParagraph"/>
        <w:numPr>
          <w:ilvl w:val="0"/>
          <w:numId w:val="2"/>
        </w:numPr>
        <w:spacing w:after="80"/>
      </w:pPr>
      <w:r>
        <w:rPr>
          <w:rFonts w:ascii="Calibri" w:cs="Calibri" w:eastAsia="Calibri" w:hAnsi="Calibri"/>
          <w:color w:val="1A1A1A"/>
          <w:sz w:val="20"/>
          <w:szCs w:val="20"/>
        </w:rPr>
        <w:t xml:space="preserve">Clean water – both potable and for washing – is continuously available, verified through regular water quality testing, to prevent dehydration and diseases resulting from poor hygiene.</w:t>
      </w:r>
    </w:p>
    <w:p>
      <w:pPr>
        <w:pStyle w:val="Heading2"/>
        <w:spacing w:after="120" w:before="280"/>
      </w:pPr>
      <w:r>
        <w:rPr>
          <w:rFonts w:ascii="Calibri" w:cs="Calibri" w:eastAsia="Calibri" w:hAnsi="Calibri"/>
          <w:b/>
          <w:bCs/>
          <w:color w:val="0F6C6C"/>
          <w:sz w:val="24"/>
          <w:szCs w:val="24"/>
        </w:rPr>
        <w:t xml:space="preserve">8.3  Sanitation &amp; Waste</w:t>
      </w:r>
    </w:p>
    <w:p>
      <w:pPr>
        <w:pStyle w:val="ListParagraph"/>
        <w:numPr>
          <w:ilvl w:val="0"/>
          <w:numId w:val="2"/>
        </w:numPr>
        <w:spacing w:after="80"/>
      </w:pPr>
      <w:r>
        <w:rPr>
          <w:rFonts w:ascii="Calibri" w:cs="Calibri" w:eastAsia="Calibri" w:hAnsi="Calibri"/>
          <w:color w:val="1A1A1A"/>
          <w:sz w:val="20"/>
          <w:szCs w:val="20"/>
        </w:rPr>
        <w:t xml:space="preserve">Bathing and toilet facilities are gender-segregated, adequate for the workforce, adequately ventilated and lit, and kept in a clean, fully-operational condition affording privacy.</w:t>
      </w:r>
    </w:p>
    <w:p>
      <w:pPr>
        <w:pStyle w:val="ListParagraph"/>
        <w:numPr>
          <w:ilvl w:val="0"/>
          <w:numId w:val="2"/>
        </w:numPr>
        <w:spacing w:after="80"/>
      </w:pPr>
      <w:r>
        <w:rPr>
          <w:rFonts w:ascii="Calibri" w:cs="Calibri" w:eastAsia="Calibri" w:hAnsi="Calibri"/>
          <w:color w:val="1A1A1A"/>
          <w:sz w:val="20"/>
          <w:szCs w:val="20"/>
        </w:rPr>
        <w:t xml:space="preserve">Wastewater and solid waste treatment complies with local standards or, where local standards are unavailable, the IFC Environmental, Health and Safety Guidelines for Water and Sanitation, designed to prevent contamination and the proliferation of disease vectors (mosquitoes, flies, rodents).</w:t>
      </w:r>
    </w:p>
    <w:p>
      <w:pPr>
        <w:pStyle w:val="ListParagraph"/>
        <w:numPr>
          <w:ilvl w:val="0"/>
          <w:numId w:val="2"/>
        </w:numPr>
        <w:spacing w:after="80"/>
      </w:pPr>
      <w:r>
        <w:rPr>
          <w:rFonts w:ascii="Calibri" w:cs="Calibri" w:eastAsia="Calibri" w:hAnsi="Calibri"/>
          <w:color w:val="1A1A1A"/>
          <w:sz w:val="20"/>
          <w:szCs w:val="20"/>
        </w:rPr>
        <w:t xml:space="preserve">Pest control measures are monitored monthly with a target of zero infestations.</w:t>
      </w:r>
    </w:p>
    <w:p>
      <w:pPr>
        <w:pStyle w:val="Heading2"/>
        <w:spacing w:after="120" w:before="280"/>
      </w:pPr>
      <w:r>
        <w:rPr>
          <w:rFonts w:ascii="Calibri" w:cs="Calibri" w:eastAsia="Calibri" w:hAnsi="Calibri"/>
          <w:b/>
          <w:bCs/>
          <w:color w:val="0F6C6C"/>
          <w:sz w:val="24"/>
          <w:szCs w:val="24"/>
        </w:rPr>
        <w:t xml:space="preserve">8.4  Accommodation Hygiene</w:t>
      </w:r>
    </w:p>
    <w:p>
      <w:pPr>
        <w:pStyle w:val="ListParagraph"/>
        <w:numPr>
          <w:ilvl w:val="0"/>
          <w:numId w:val="2"/>
        </w:numPr>
        <w:spacing w:after="80"/>
      </w:pPr>
      <w:r>
        <w:rPr>
          <w:rFonts w:ascii="Calibri" w:cs="Calibri" w:eastAsia="Calibri" w:hAnsi="Calibri"/>
          <w:color w:val="1A1A1A"/>
          <w:sz w:val="20"/>
          <w:szCs w:val="20"/>
        </w:rPr>
        <w:t xml:space="preserve">Accommodation facilities undergo Environmental &amp; Health (E&amp;H) risk assessment prior to occupancy and monthly inspection thereafter, covering bedding standards, room occupancy limits (≤ 4 workers per room), HVAC/noise control, and fire &amp; gas detection system function.</w:t>
      </w:r>
    </w:p>
    <w:p>
      <w:pPr>
        <w:pStyle w:val="Heading2"/>
        <w:spacing w:after="120" w:before="280"/>
      </w:pPr>
      <w:r>
        <w:rPr>
          <w:rFonts w:ascii="Calibri" w:cs="Calibri" w:eastAsia="Calibri" w:hAnsi="Calibri"/>
          <w:b/>
          <w:bCs/>
          <w:color w:val="0F6C6C"/>
          <w:sz w:val="24"/>
          <w:szCs w:val="24"/>
        </w:rPr>
        <w:t xml:space="preserve">8.5  Monitoring Frequency Summary</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4000"/>
        <w:gridCol w:w="2500"/>
        <w:gridCol w:w="3500"/>
      </w:tblGrid>
      <w:tr>
        <w:trPr>
          <w:tblHeader/>
        </w:trPr>
        <w:tc>
          <w:tcPr>
            <w:tcW w:type="dxa" w:w="40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Monitoring Item</w:t>
            </w:r>
          </w:p>
        </w:tc>
        <w:tc>
          <w:tcPr>
            <w:tcW w:type="dxa" w:w="2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Frequency</w:t>
            </w:r>
          </w:p>
        </w:tc>
        <w:tc>
          <w:tcPr>
            <w:tcW w:type="dxa" w:w="3500"/>
            <w:shd w:fill="1B2A4A"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FFFFFF"/>
                <w:sz w:val="16"/>
                <w:szCs w:val="16"/>
              </w:rPr>
              <w:t xml:space="preserve">Record</w:t>
            </w:r>
          </w:p>
        </w:tc>
      </w:tr>
      <w:tr>
        <w:tc>
          <w:tcPr>
            <w:tcW w:type="dxa" w:w="4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Canteen / Kitchen Third-Party Inspection</w:t>
            </w:r>
          </w:p>
        </w:tc>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 1 per Month</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Inspection Reports</w:t>
            </w:r>
          </w:p>
        </w:tc>
      </w:tr>
      <w:tr>
        <w:tc>
          <w:tcPr>
            <w:tcW w:type="dxa" w:w="4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Food Safety / Hygiene Standard Compliance</w:t>
            </w:r>
          </w:p>
        </w:tc>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 (100% target)</w:t>
            </w:r>
          </w:p>
        </w:tc>
        <w:tc>
          <w:tcPr>
            <w:tcW w:type="dxa" w:w="3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Inspection Reports</w:t>
            </w:r>
          </w:p>
        </w:tc>
      </w:tr>
      <w:tr>
        <w:tc>
          <w:tcPr>
            <w:tcW w:type="dxa" w:w="4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Water Quality Testing</w:t>
            </w:r>
          </w:p>
        </w:tc>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Continuous</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Water Quality Testing Records</w:t>
            </w:r>
          </w:p>
        </w:tc>
      </w:tr>
      <w:tr>
        <w:tc>
          <w:tcPr>
            <w:tcW w:type="dxa" w:w="4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Wastewater / Solid Waste Treatment Compliance</w:t>
            </w:r>
          </w:p>
        </w:tc>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Quarterly</w:t>
            </w:r>
          </w:p>
        </w:tc>
        <w:tc>
          <w:tcPr>
            <w:tcW w:type="dxa" w:w="3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Environmental Inspection</w:t>
            </w:r>
          </w:p>
        </w:tc>
      </w:tr>
      <w:tr>
        <w:tc>
          <w:tcPr>
            <w:tcW w:type="dxa" w:w="4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Accommodation Inspection (bedding, occupancy, HVAC)</w:t>
            </w:r>
          </w:p>
        </w:tc>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Inspection Checklist</w:t>
            </w:r>
          </w:p>
        </w:tc>
      </w:tr>
      <w:tr>
        <w:tc>
          <w:tcPr>
            <w:tcW w:type="dxa" w:w="4000"/>
            <w:shd w:fill="E8F2F1"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Fire &amp; Gas Detection System Function (Accommodation)</w:t>
            </w:r>
          </w:p>
        </w:tc>
        <w:tc>
          <w:tcPr>
            <w:tcW w:type="dxa" w:w="2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w:t>
            </w:r>
          </w:p>
        </w:tc>
        <w:tc>
          <w:tcPr>
            <w:tcW w:type="dxa" w:w="3500"/>
            <w:shd w:fill="E8F2F1"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Maintenance / Testing Records</w:t>
            </w:r>
          </w:p>
        </w:tc>
      </w:tr>
      <w:tr>
        <w:tc>
          <w:tcPr>
            <w:tcW w:type="dxa" w:w="4000"/>
            <w:shd w:fill="FFFFFF" w:val="clear"/>
            <w:tcMar>
              <w:top w:type="dxa" w:w="80"/>
              <w:left w:type="dxa" w:w="100"/>
              <w:bottom w:type="dxa" w:w="80"/>
              <w:right w:type="dxa" w:w="100"/>
            </w:tcMar>
            <w:vAlign w:val="center"/>
          </w:tcPr>
          <w:p>
            <w:pPr>
              <w:spacing w:after="0"/>
              <w:jc w:val="left"/>
            </w:pPr>
            <w:r>
              <w:rPr>
                <w:rFonts w:ascii="Calibri" w:cs="Calibri" w:eastAsia="Calibri" w:hAnsi="Calibri"/>
                <w:b/>
                <w:bCs/>
                <w:i w:val="false"/>
                <w:iCs w:val="false"/>
                <w:color w:val="1A1A1A"/>
                <w:sz w:val="15"/>
                <w:szCs w:val="15"/>
              </w:rPr>
              <w:t xml:space="preserve">Pest Control Effectiveness</w:t>
            </w:r>
          </w:p>
        </w:tc>
        <w:tc>
          <w:tcPr>
            <w:tcW w:type="dxa" w:w="2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Monthly</w:t>
            </w:r>
          </w:p>
        </w:tc>
        <w:tc>
          <w:tcPr>
            <w:tcW w:type="dxa" w:w="3500"/>
            <w:shd w:fill="FFFFFF" w:val="clear"/>
            <w:tcMar>
              <w:top w:type="dxa" w:w="80"/>
              <w:left w:type="dxa" w:w="100"/>
              <w:bottom w:type="dxa" w:w="80"/>
              <w:right w:type="dxa" w:w="100"/>
            </w:tcMar>
            <w:vAlign w:val="center"/>
          </w:tcPr>
          <w:p>
            <w:pPr>
              <w:spacing w:after="0"/>
              <w:jc w:val="left"/>
            </w:pPr>
            <w:r>
              <w:rPr>
                <w:rFonts w:ascii="Calibri" w:cs="Calibri" w:eastAsia="Calibri" w:hAnsi="Calibri"/>
                <w:b w:val="false"/>
                <w:bCs w:val="false"/>
                <w:i w:val="false"/>
                <w:iCs w:val="false"/>
                <w:color w:val="1A1A1A"/>
                <w:sz w:val="15"/>
                <w:szCs w:val="15"/>
              </w:rPr>
              <w:t xml:space="preserve">Pest Control Reports</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9.0  HRA Review Process &amp; Certification</w:t>
      </w:r>
    </w:p>
    <w:p>
      <w:pPr>
        <w:pStyle w:val="ListParagraph"/>
        <w:numPr>
          <w:ilvl w:val="0"/>
          <w:numId w:val="2"/>
        </w:numPr>
        <w:spacing w:after="80"/>
      </w:pPr>
      <w:r>
        <w:rPr>
          <w:rFonts w:ascii="Calibri" w:cs="Calibri" w:eastAsia="Calibri" w:hAnsi="Calibri"/>
          <w:color w:val="1A1A1A"/>
          <w:sz w:val="20"/>
          <w:szCs w:val="20"/>
        </w:rPr>
        <w:t xml:space="preserve">The SWDA Safety Manager (SM) completes and signs the Certification of Hazard Assessment for each Work-site Hazard Assessment, including the occupational health components addressed in this procedure, and includes it within the Site-Specific HSE Plan (SSHSEP).</w:t>
      </w:r>
    </w:p>
    <w:p>
      <w:pPr>
        <w:pStyle w:val="ListParagraph"/>
        <w:numPr>
          <w:ilvl w:val="0"/>
          <w:numId w:val="2"/>
        </w:numPr>
        <w:spacing w:after="80"/>
      </w:pPr>
      <w:r>
        <w:rPr>
          <w:rFonts w:ascii="Calibri" w:cs="Calibri" w:eastAsia="Calibri" w:hAnsi="Calibri"/>
          <w:color w:val="1A1A1A"/>
          <w:sz w:val="20"/>
          <w:szCs w:val="20"/>
        </w:rPr>
        <w:t xml:space="preserve">Health Risk Assessments are reviewed at the beginning of the job, periodically throughout the job, and at least annually, and are updated whenever new tasks are introduced that have not previously been risk-assessed, when a work process changes, or when significant additions or alterations are made to a job site.</w:t>
      </w:r>
    </w:p>
    <w:p>
      <w:pPr>
        <w:pStyle w:val="ListParagraph"/>
        <w:numPr>
          <w:ilvl w:val="0"/>
          <w:numId w:val="2"/>
        </w:numPr>
        <w:spacing w:after="80"/>
      </w:pPr>
      <w:r>
        <w:rPr>
          <w:rFonts w:ascii="Calibri" w:cs="Calibri" w:eastAsia="Calibri" w:hAnsi="Calibri"/>
          <w:color w:val="1A1A1A"/>
          <w:sz w:val="20"/>
          <w:szCs w:val="20"/>
        </w:rPr>
        <w:t xml:space="preserve">The respective Supervisor or Project Manager advises the Safety Manager when additional occupational health hazards are introduced into the workplace, to trigger revised planning and assessment.</w:t>
      </w:r>
    </w:p>
    <w:p>
      <w:pPr>
        <w:pStyle w:val="ListParagraph"/>
        <w:numPr>
          <w:ilvl w:val="0"/>
          <w:numId w:val="2"/>
        </w:numPr>
        <w:spacing w:after="80"/>
      </w:pPr>
      <w:r>
        <w:rPr>
          <w:rFonts w:ascii="Calibri" w:cs="Calibri" w:eastAsia="Calibri" w:hAnsi="Calibri"/>
          <w:color w:val="1A1A1A"/>
          <w:sz w:val="20"/>
          <w:szCs w:val="20"/>
        </w:rPr>
        <w:t xml:space="preserve">The Hazard Assessment Programme (HAP) review process includes a Management of Change consideration and involves the SWDA Safety Committee.</w:t>
      </w:r>
    </w:p>
    <w:p>
      <w:pPr>
        <w:pStyle w:val="Heading1"/>
        <w:pBdr>
          <w:bottom w:val="single" w:color="0F6C6C" w:sz="8" w:space="4"/>
        </w:pBdr>
        <w:spacing w:after="160" w:before="360"/>
      </w:pPr>
      <w:r>
        <w:rPr>
          <w:rFonts w:ascii="Calibri" w:cs="Calibri" w:eastAsia="Calibri" w:hAnsi="Calibri"/>
          <w:b/>
          <w:bCs/>
          <w:color w:val="1B2A4A"/>
          <w:sz w:val="28"/>
          <w:szCs w:val="28"/>
        </w:rPr>
        <w:t xml:space="preserve">10.0  Roles &amp; Responsibilities</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3200"/>
        <w:gridCol w:w="7800"/>
      </w:tblGrid>
      <w:tr>
        <w:tc>
          <w:tcPr>
            <w:tcW w:type="dxa" w:w="32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Role</w:t>
            </w:r>
          </w:p>
        </w:tc>
        <w:tc>
          <w:tcPr>
            <w:tcW w:type="dxa" w:w="7800"/>
            <w:shd w:fill="1B2A4A"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FFFFFF"/>
                <w:sz w:val="16"/>
                <w:szCs w:val="16"/>
              </w:rPr>
              <w:t xml:space="preserve">Health Risk Assessment / OH Responsibility</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SWDA Safety Manager (SM)</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Completes and signs Certification of Hazard Assessment; owns the HRA review process and Hazard Assessment Programme.</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Project HSE Manager / HSE Officer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Implements atmospheric/gas and noise monitoring; coordinates with medical provider on FFD scheduling; reviews hygiene inspection results.</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On-Site Field Nurse / First Aid Responder</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Provides first aid response, supports FFD coordination, monitors worker health complaints on site.</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Confined Space Attendant / Gas Tester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Conducts and records atmospheric testing per the Permit to Work System and this procedure.</w:t>
            </w:r>
          </w:p>
        </w:tc>
      </w:tr>
      <w:tr>
        <w:tc>
          <w:tcPr>
            <w:tcW w:type="dxa" w:w="3200"/>
            <w:shd w:fill="FFFFFF"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Workers Welfare Committee (WWC)</w:t>
            </w:r>
          </w:p>
        </w:tc>
        <w:tc>
          <w:tcPr>
            <w:tcW w:type="dxa" w:w="7800"/>
            <w:shd w:fill="FFFFFF"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Reviews hygiene monitoring KPI trends (canteen, water, accommodation) monthly; escalates non-compliance.</w:t>
            </w:r>
          </w:p>
        </w:tc>
      </w:tr>
      <w:tr>
        <w:tc>
          <w:tcPr>
            <w:tcW w:type="dxa" w:w="3200"/>
            <w:shd w:fill="E8F2F1" w:val="clear"/>
            <w:tcMar>
              <w:top w:type="dxa" w:w="80"/>
              <w:left w:type="dxa" w:w="120"/>
              <w:bottom w:type="dxa" w:w="80"/>
              <w:right w:type="dxa" w:w="120"/>
            </w:tcMar>
            <w:vAlign w:val="center"/>
          </w:tcPr>
          <w:p>
            <w:pPr>
              <w:spacing w:after="0"/>
              <w:jc w:val="left"/>
            </w:pPr>
            <w:r>
              <w:rPr>
                <w:rFonts w:ascii="Calibri" w:cs="Calibri" w:eastAsia="Calibri" w:hAnsi="Calibri"/>
                <w:b/>
                <w:bCs/>
                <w:i w:val="false"/>
                <w:iCs w:val="false"/>
                <w:color w:val="1B2A4A"/>
                <w:sz w:val="16"/>
                <w:szCs w:val="16"/>
              </w:rPr>
              <w:t xml:space="preserve">Individual Worker</w:t>
            </w:r>
          </w:p>
        </w:tc>
        <w:tc>
          <w:tcPr>
            <w:tcW w:type="dxa" w:w="7800"/>
            <w:shd w:fill="E8F2F1" w:val="clear"/>
            <w:tcMar>
              <w:top w:type="dxa" w:w="80"/>
              <w:left w:type="dxa" w:w="120"/>
              <w:bottom w:type="dxa" w:w="80"/>
              <w:right w:type="dxa" w:w="120"/>
            </w:tcMar>
            <w:vAlign w:val="center"/>
          </w:tcPr>
          <w:p>
            <w:pPr>
              <w:spacing w:after="0"/>
              <w:jc w:val="left"/>
            </w:pPr>
            <w:r>
              <w:rPr>
                <w:rFonts w:ascii="Calibri" w:cs="Calibri" w:eastAsia="Calibri" w:hAnsi="Calibri"/>
                <w:b w:val="false"/>
                <w:bCs w:val="false"/>
                <w:i w:val="false"/>
                <w:iCs w:val="false"/>
                <w:color w:val="1A1A1A"/>
                <w:sz w:val="16"/>
                <w:szCs w:val="16"/>
              </w:rPr>
              <w:t xml:space="preserve">Reports symptoms of ill health, fatigue, or hygiene deficiencies to their Supervisor or the Field Nurse immediately.</w:t>
            </w:r>
          </w:p>
        </w:tc>
      </w:tr>
    </w:tbl>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11.0  Records</w:t>
      </w:r>
    </w:p>
    <w:p>
      <w:pPr>
        <w:pStyle w:val="ListParagraph"/>
        <w:numPr>
          <w:ilvl w:val="0"/>
          <w:numId w:val="2"/>
        </w:numPr>
        <w:spacing w:after="80"/>
      </w:pPr>
      <w:r>
        <w:rPr>
          <w:rFonts w:ascii="Calibri" w:cs="Calibri" w:eastAsia="Calibri" w:hAnsi="Calibri"/>
          <w:color w:val="1A1A1A"/>
          <w:sz w:val="20"/>
          <w:szCs w:val="20"/>
        </w:rPr>
        <w:t xml:space="preserve">Health Risk Assessment records and Certification of Hazard Assessment for each SSHSEP;</w:t>
      </w:r>
    </w:p>
    <w:p>
      <w:pPr>
        <w:pStyle w:val="ListParagraph"/>
        <w:numPr>
          <w:ilvl w:val="0"/>
          <w:numId w:val="2"/>
        </w:numPr>
        <w:spacing w:after="80"/>
      </w:pPr>
      <w:r>
        <w:rPr>
          <w:rFonts w:ascii="Calibri" w:cs="Calibri" w:eastAsia="Calibri" w:hAnsi="Calibri"/>
          <w:color w:val="1A1A1A"/>
          <w:sz w:val="20"/>
          <w:szCs w:val="20"/>
        </w:rPr>
        <w:t xml:space="preserve">Gas testing and calibration records (per the Permit to Work System);</w:t>
      </w:r>
    </w:p>
    <w:p>
      <w:pPr>
        <w:pStyle w:val="ListParagraph"/>
        <w:numPr>
          <w:ilvl w:val="0"/>
          <w:numId w:val="2"/>
        </w:numPr>
        <w:spacing w:after="80"/>
      </w:pPr>
      <w:r>
        <w:rPr>
          <w:rFonts w:ascii="Calibri" w:cs="Calibri" w:eastAsia="Calibri" w:hAnsi="Calibri"/>
          <w:color w:val="1A1A1A"/>
          <w:sz w:val="20"/>
          <w:szCs w:val="20"/>
        </w:rPr>
        <w:t xml:space="preserve">Noise monitoring records and hearing protection compliance;</w:t>
      </w:r>
    </w:p>
    <w:p>
      <w:pPr>
        <w:pStyle w:val="ListParagraph"/>
        <w:numPr>
          <w:ilvl w:val="0"/>
          <w:numId w:val="2"/>
        </w:numPr>
        <w:spacing w:after="80"/>
      </w:pPr>
      <w:r>
        <w:rPr>
          <w:rFonts w:ascii="Calibri" w:cs="Calibri" w:eastAsia="Calibri" w:hAnsi="Calibri"/>
          <w:color w:val="1A1A1A"/>
          <w:sz w:val="20"/>
          <w:szCs w:val="20"/>
        </w:rPr>
        <w:t xml:space="preserve">Medical fitness (FFD) records and any task-specific health surveillance results, retained with appropriate confidentiality;</w:t>
      </w:r>
    </w:p>
    <w:p>
      <w:pPr>
        <w:pStyle w:val="ListParagraph"/>
        <w:numPr>
          <w:ilvl w:val="0"/>
          <w:numId w:val="2"/>
        </w:numPr>
        <w:spacing w:after="80"/>
      </w:pPr>
      <w:r>
        <w:rPr>
          <w:rFonts w:ascii="Calibri" w:cs="Calibri" w:eastAsia="Calibri" w:hAnsi="Calibri"/>
          <w:color w:val="1A1A1A"/>
          <w:sz w:val="20"/>
          <w:szCs w:val="20"/>
        </w:rPr>
        <w:t xml:space="preserve">Canteen/kitchen, water quality, accommodation and pest control inspection records;</w:t>
      </w:r>
    </w:p>
    <w:p>
      <w:pPr>
        <w:pStyle w:val="ListParagraph"/>
        <w:numPr>
          <w:ilvl w:val="0"/>
          <w:numId w:val="2"/>
        </w:numPr>
        <w:spacing w:after="80"/>
      </w:pPr>
      <w:r>
        <w:rPr>
          <w:rFonts w:ascii="Calibri" w:cs="Calibri" w:eastAsia="Calibri" w:hAnsi="Calibri"/>
          <w:color w:val="1A1A1A"/>
          <w:sz w:val="20"/>
          <w:szCs w:val="20"/>
        </w:rPr>
        <w:t xml:space="preserve">Any OH/hygiene-related findings raised via the HSE Audit &amp; Inspection Procedure, logged in the Project Action Tracking Register.</w:t>
      </w:r>
    </w:p>
    <w:p>
      <w:r>
        <w:br w:type="page"/>
      </w:r>
    </w:p>
    <w:p>
      <w:pPr>
        <w:pStyle w:val="Heading1"/>
        <w:pBdr>
          <w:bottom w:val="single" w:color="0F6C6C" w:sz="8" w:space="4"/>
        </w:pBdr>
        <w:spacing w:after="160" w:before="360"/>
      </w:pPr>
      <w:r>
        <w:rPr>
          <w:rFonts w:ascii="Calibri" w:cs="Calibri" w:eastAsia="Calibri" w:hAnsi="Calibri"/>
          <w:b/>
          <w:bCs/>
          <w:color w:val="1B2A4A"/>
          <w:sz w:val="28"/>
          <w:szCs w:val="28"/>
        </w:rPr>
        <w:t xml:space="preserve">12.0  Approval</w:t>
      </w:r>
    </w:p>
    <w:p>
      <w:pPr>
        <w:spacing w:after="120"/>
      </w:pPr>
      <w:r>
        <w:rPr>
          <w:rFonts w:ascii="Calibri" w:cs="Calibri" w:eastAsia="Calibri" w:hAnsi="Calibri"/>
          <w:color w:val="1A1A1A"/>
          <w:sz w:val="20"/>
          <w:szCs w:val="20"/>
        </w:rPr>
        <w:t xml:space="preserve">This SWDA Health Risk Assessment Procedure (Occupational Health &amp; Hygiene Monitoring Plan) has been reviewed for completeness and alignment with the HSE Plan, PE&amp;RM Plan, and Workers Welfare Management Plan, and is submitted for approval as the governing HRA and OH/hygiene framework for the Renaissance 18-Tank ATC/NME Project.</w:t>
      </w:r>
    </w:p>
    <w:p>
      <w:pPr>
        <w:spacing w:after="100" w:before="600"/>
      </w:pPr>
      <w:r>
        <w:rPr>
          <w:rFonts w:ascii="Calibri" w:cs="Calibri" w:eastAsia="Calibri" w:hAnsi="Calibri"/>
          <w:b/>
          <w:bCs/>
          <w:color w:val="1B2A4A"/>
          <w:sz w:val="20"/>
          <w:szCs w:val="20"/>
        </w:rPr>
        <w:t xml:space="preserve">Approved by:</w:t>
      </w:r>
    </w:p>
    <w:p>
      <w:pPr>
        <w:spacing w:after="60" w:before="500"/>
      </w:pPr>
      <w:r>
        <w:rPr>
          <w:rFonts w:ascii="Calibri" w:cs="Calibri" w:eastAsia="Calibri" w:hAnsi="Calibri"/>
          <w:sz w:val="20"/>
          <w:szCs w:val="20"/>
        </w:rPr>
        <w:t xml:space="preserve">____________________________________________</w:t>
      </w:r>
    </w:p>
    <w:p>
      <w:pPr>
        <w:spacing w:after="40"/>
      </w:pPr>
      <w:r>
        <w:rPr>
          <w:rFonts w:ascii="Calibri" w:cs="Calibri" w:eastAsia="Calibri" w:hAnsi="Calibri"/>
          <w:b/>
          <w:bCs/>
          <w:sz w:val="20"/>
          <w:szCs w:val="20"/>
        </w:rPr>
        <w:t xml:space="preserve">Gliffeth Wonuigwe</w:t>
      </w:r>
    </w:p>
    <w:p>
      <w:pPr>
        <w:spacing w:after="40"/>
      </w:pPr>
      <w:r>
        <w:rPr>
          <w:rFonts w:ascii="Calibri" w:cs="Calibri" w:eastAsia="Calibri" w:hAnsi="Calibri"/>
          <w:i/>
          <w:iCs/>
          <w:sz w:val="19"/>
          <w:szCs w:val="19"/>
        </w:rPr>
        <w:t xml:space="preserve">Group Chief Executive Officer / Managing Director</w:t>
      </w:r>
    </w:p>
    <w:p>
      <w:pPr>
        <w:spacing w:after="40"/>
      </w:pPr>
      <w:r>
        <w:rPr>
          <w:rFonts w:ascii="Calibri" w:cs="Calibri" w:eastAsia="Calibri" w:hAnsi="Calibri"/>
          <w:i/>
          <w:iCs/>
          <w:sz w:val="19"/>
          <w:szCs w:val="19"/>
        </w:rPr>
        <w:t xml:space="preserve">South West Design Africa Limited (SWDA)</w:t>
      </w:r>
    </w:p>
    <w:p>
      <w:pPr>
        <w:spacing w:after="40" w:before="300"/>
      </w:pPr>
      <w:r>
        <w:rPr>
          <w:rFonts w:ascii="Calibri" w:cs="Calibri" w:eastAsia="Calibri" w:hAnsi="Calibri"/>
          <w:sz w:val="20"/>
          <w:szCs w:val="20"/>
        </w:rPr>
        <w:t xml:space="preserve">Date: ____________________________</w:t>
      </w:r>
    </w:p>
    <w:sectPr>
      <w:headerReference w:type="default" r:id="rId9"/>
      <w:footerReference w:type="default" r:id="rId10"/>
      <w:pgSz w:w="12240" w:h="15840" w:orient="portrait"/>
      <w:pgMar w:top="1260" w:right="1080" w:bottom="12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F6C6C" w:sz="6" w:space="4"/>
      </w:pBdr>
      <w:tabs>
        <w:tab w:val="center" w:pos="4513"/>
        <w:tab w:val="right" w:pos="9026"/>
      </w:tabs>
    </w:pPr>
    <w:r>
      <w:rPr>
        <w:rFonts w:ascii="Calibri" w:cs="Calibri" w:eastAsia="Calibri" w:hAnsi="Calibri"/>
        <w:color w:val="1A1A1A"/>
        <w:sz w:val="15"/>
        <w:szCs w:val="15"/>
      </w:rPr>
      <w:t xml:space="preserve">Rev. 0 – 05 August 2026</w:t>
    </w:r>
    <w:r>
      <w:rPr>
        <w:rFonts w:ascii="Calibri" w:cs="Calibri" w:eastAsia="Calibri" w:hAnsi="Calibri"/>
        <w:color w:val="1A1A1A"/>
        <w:sz w:val="15"/>
        <w:szCs w:val="15"/>
      </w:rPr>
      <w:t xml:space="preserve">	CONFIDENTIAL – PROJECT CONTROLLED DOCUMENT</w:t>
    </w:r>
    <w:r>
      <w:rPr>
        <w:rFonts w:ascii="Calibri" w:cs="Calibri" w:eastAsia="Calibri" w:hAnsi="Calibri"/>
        <w:sz w:val="15"/>
        <w:szCs w:val="15"/>
      </w:rPr>
      <w:t xml:space="preserve">	</w:t>
    </w:r>
    <w:r>
      <w:rPr>
        <w:rFonts w:ascii="Calibri" w:cs="Calibri" w:eastAsia="Calibri" w:hAnsi="Calibri"/>
        <w:color w:val="1A1A1A"/>
        <w:sz w:val="15"/>
        <w:szCs w:val="15"/>
      </w:rPr>
      <w:t xml:space="preserve">Page </w:t>
    </w:r>
    <w:r>
      <w:rPr>
        <w:rFonts w:ascii="Calibri" w:cs="Calibri" w:eastAsia="Calibri" w:hAnsi="Calibri"/>
        <w:color w:val="1A1A1A"/>
        <w:sz w:val="15"/>
        <w:szCs w:val="15"/>
      </w:rPr>
      <w:fldChar w:fldCharType="begin"/>
      <w:instrText xml:space="preserve">PAGE</w:instrText>
      <w:fldChar w:fldCharType="separate"/>
      <w:fldChar w:fldCharType="end"/>
    </w:r>
    <w:r>
      <w:rPr>
        <w:rFonts w:ascii="Calibri" w:cs="Calibri" w:eastAsia="Calibri" w:hAnsi="Calibri"/>
        <w:color w:val="1A1A1A"/>
        <w:sz w:val="15"/>
        <w:szCs w:val="15"/>
      </w:rPr>
      <w:t xml:space="preserve"> of </w:t>
    </w:r>
    <w:r>
      <w:rPr>
        <w:rFonts w:ascii="Calibri" w:cs="Calibri" w:eastAsia="Calibri" w:hAnsi="Calibri"/>
        <w:color w:val="1A1A1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F6C6C" w:sz="6" w:space="4"/>
      </w:pBdr>
      <w:tabs>
        <w:tab w:val="right" w:pos="9026"/>
      </w:tabs>
    </w:pPr>
    <w:r>
      <w:rPr>
        <w:rFonts w:ascii="Calibri" w:cs="Calibri" w:eastAsia="Calibri" w:hAnsi="Calibri"/>
        <w:b/>
        <w:bCs/>
        <w:color w:val="1B2A4A"/>
        <w:sz w:val="16"/>
        <w:szCs w:val="16"/>
      </w:rPr>
      <w:t xml:space="preserve">SWDA Health Risk Assessment Procedure (OH &amp; Hygiene Monitoring)</w:t>
    </w:r>
    <w:r>
      <w:rPr>
        <w:rFonts w:ascii="Calibri" w:cs="Calibri" w:eastAsia="Calibri" w:hAnsi="Calibri"/>
        <w:color w:val="0F6C6C"/>
        <w:sz w:val="15"/>
        <w:szCs w:val="15"/>
      </w:rPr>
      <w:t xml:space="preserve">	RENAISSANCE-CW-68582 / SWDA-2026-RAEC-001-HRA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2026-08-05T15:33:09.839Z</dcterms:created>
  <dcterms:modified xsi:type="dcterms:W3CDTF">2026-08-05T15:33:09.839Z</dcterms:modified>
</cp:coreProperties>
</file>

<file path=docProps/custom.xml><?xml version="1.0" encoding="utf-8"?>
<Properties xmlns="http://schemas.openxmlformats.org/officeDocument/2006/custom-properties" xmlns:vt="http://schemas.openxmlformats.org/officeDocument/2006/docPropsVTypes"/>
</file>