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rPr>
          <w:rFonts w:ascii="Calibri" w:cs="Calibri" w:eastAsia="Calibri" w:hAnsi="Calibri"/>
          <w:color w:val="1A1A1A"/>
          <w:sz w:val="20"/>
          <w:szCs w:val="20"/>
        </w:rPr>
        <w:t xml:space="preserve"/>
      </w:r>
    </w:p>
    <w:p>
      <w:pPr>
        <w:pBdr>
          <w:bottom w:val="single" w:color="B8944F" w:sz="12" w:space="10"/>
        </w:pBdr>
        <w:spacing w:after="0" w:before="800"/>
        <w:jc w:val="center"/>
      </w:pPr>
      <w:r>
        <w:rPr>
          <w:rFonts w:ascii="Calibri" w:cs="Calibri" w:eastAsia="Calibri" w:hAnsi="Calibri"/>
          <w:b/>
          <w:bCs/>
          <w:color w:val="1B2A4A"/>
          <w:sz w:val="32"/>
          <w:szCs w:val="32"/>
        </w:rPr>
        <w:t xml:space="preserve">SOUTH WEST DESIGN AFRICA LIMITED</w:t>
      </w:r>
    </w:p>
    <w:p>
      <w:pPr>
        <w:spacing w:after="600" w:before="120"/>
        <w:jc w:val="center"/>
      </w:pPr>
      <w:r>
        <w:rPr>
          <w:rFonts w:ascii="Calibri" w:cs="Calibri" w:eastAsia="Calibri" w:hAnsi="Calibri"/>
          <w:i/>
          <w:iCs/>
          <w:color w:val="0F6C6C"/>
          <w:sz w:val="20"/>
          <w:szCs w:val="20"/>
        </w:rPr>
        <w:t xml:space="preserve">HSE &amp; Project Compliance Documentation</w:t>
      </w:r>
    </w:p>
    <w:p>
      <w:pPr>
        <w:spacing w:after="200" w:before="1200"/>
        <w:jc w:val="center"/>
      </w:pPr>
      <w:r>
        <w:rPr>
          <w:rFonts w:ascii="Calibri" w:cs="Calibri" w:eastAsia="Calibri" w:hAnsi="Calibri"/>
          <w:b/>
          <w:bCs/>
          <w:color w:val="1B2A4A"/>
          <w:sz w:val="44"/>
          <w:szCs w:val="44"/>
        </w:rPr>
        <w:t xml:space="preserve">SWDA PROJECT ACTION TRACKING REGISTER</w:t>
      </w:r>
    </w:p>
    <w:p>
      <w:pPr>
        <w:spacing w:after="800" w:before="0"/>
        <w:jc w:val="center"/>
      </w:pPr>
      <w:r>
        <w:rPr>
          <w:rFonts w:ascii="Calibri" w:cs="Calibri" w:eastAsia="Calibri" w:hAnsi="Calibri"/>
          <w:color w:val="0F6C6C"/>
          <w:sz w:val="22"/>
          <w:szCs w:val="22"/>
        </w:rPr>
        <w:t xml:space="preserve">Inspections • Audits • Management Reviews • Community Engagement &amp; CSR • Complaints &amp; Grievances</w:t>
      </w:r>
    </w:p>
    <w:p>
      <w:pPr>
        <w:spacing w:after="100" w:before="200"/>
        <w:jc w:val="center"/>
      </w:pPr>
      <w:r>
        <w:rPr>
          <w:rFonts w:ascii="Calibri" w:cs="Calibri" w:eastAsia="Calibri" w:hAnsi="Calibri"/>
          <w:b/>
          <w:bCs/>
          <w:color w:val="1A1A1A"/>
          <w:sz w:val="24"/>
          <w:szCs w:val="24"/>
        </w:rPr>
        <w:t xml:space="preserve">18-Tank Automatic Tank Cleaning (ATC) &amp; No-Man Entry (NME) Project</w:t>
      </w:r>
    </w:p>
    <w:p>
      <w:pPr>
        <w:spacing w:after="100" w:before="0"/>
        <w:jc w:val="center"/>
      </w:pPr>
      <w:r>
        <w:rPr>
          <w:rFonts w:ascii="Calibri" w:cs="Calibri" w:eastAsia="Calibri" w:hAnsi="Calibri"/>
          <w:color w:val="1A1A1A"/>
          <w:sz w:val="20"/>
          <w:szCs w:val="20"/>
        </w:rPr>
        <w:t xml:space="preserve">Contract/Tender Nos.: CW-68582 &amp; CW-515913</w:t>
      </w:r>
    </w:p>
    <w:p>
      <w:pPr>
        <w:spacing w:after="600" w:before="0"/>
        <w:jc w:val="center"/>
      </w:pPr>
      <w:r>
        <w:rPr>
          <w:rFonts w:ascii="Calibri" w:cs="Calibri" w:eastAsia="Calibri" w:hAnsi="Calibri"/>
          <w:color w:val="1A1A1A"/>
          <w:sz w:val="20"/>
          <w:szCs w:val="20"/>
        </w:rPr>
        <w:t xml:space="preserve">Client: Renaissance Africa Energy Company (RAEC)    |    Contractor: South West Design Africa Limited (SWDA)</w:t>
      </w:r>
    </w:p>
    <w:tbl>
      <w:tblPr>
        <w:tblW w:type="dxa" w:w="8500"/>
        <w:jc w:val="center"/>
        <w:tblBorders>
          <w:top w:val="single" w:color="auto" w:sz="4"/>
          <w:left w:val="single" w:color="auto" w:sz="4"/>
          <w:bottom w:val="single" w:color="auto" w:sz="4"/>
          <w:right w:val="single" w:color="auto" w:sz="4"/>
          <w:insideH w:val="single" w:color="auto" w:sz="4"/>
          <w:insideV w:val="single" w:color="auto" w:sz="4"/>
        </w:tblBorders>
      </w:tblPr>
      <w:tblGrid>
        <w:gridCol w:w="3000"/>
        <w:gridCol w:w="5500"/>
      </w:tblGrid>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color w:val="FFFFFF"/>
                <w:sz w:val="18"/>
                <w:szCs w:val="18"/>
              </w:rPr>
              <w:t xml:space="preserve">Document No.</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color w:val="1A1A1A"/>
                <w:sz w:val="18"/>
                <w:szCs w:val="18"/>
              </w:rPr>
              <w:t xml:space="preserve">RENAISSANCE-CW-68582 / SWDA-2026-RAEC-001-ATR</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color w:val="FFFFFF"/>
                <w:sz w:val="18"/>
                <w:szCs w:val="18"/>
              </w:rPr>
              <w:t xml:space="preserve">Revision</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color w:val="1A1A1A"/>
                <w:sz w:val="18"/>
                <w:szCs w:val="18"/>
              </w:rPr>
              <w:t xml:space="preserve">Rev. 0</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color w:val="FFFFFF"/>
                <w:sz w:val="18"/>
                <w:szCs w:val="18"/>
              </w:rPr>
              <w:t xml:space="preserve">Issue Date</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color w:val="1A1A1A"/>
                <w:sz w:val="18"/>
                <w:szCs w:val="18"/>
              </w:rPr>
              <w:t xml:space="preserve">05 August 2026</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color w:val="FFFFFF"/>
                <w:sz w:val="18"/>
                <w:szCs w:val="18"/>
              </w:rPr>
              <w:t xml:space="preserve">Document Status</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color w:val="1A1A1A"/>
                <w:sz w:val="18"/>
                <w:szCs w:val="18"/>
              </w:rPr>
              <w:t xml:space="preserve">Issued for MD Endorsement</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color w:val="FFFFFF"/>
                <w:sz w:val="18"/>
                <w:szCs w:val="18"/>
              </w:rPr>
              <w:t xml:space="preserve">Classification</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color w:val="1A1A1A"/>
                <w:sz w:val="18"/>
                <w:szCs w:val="18"/>
              </w:rPr>
              <w:t xml:space="preserve">Project Controlled Document – HSE / QA-QC</w:t>
            </w:r>
          </w:p>
        </w:tc>
      </w:tr>
    </w:tbl>
    <w:p>
      <w:pPr>
        <w:spacing w:before="800"/>
      </w:pPr>
      <w:r>
        <w:rPr>
          <w:rFonts w:ascii="Calibri" w:cs="Calibri" w:eastAsia="Calibri" w:hAnsi="Calibri"/>
          <w:color w:val="1A1A1A"/>
          <w:sz w:val="20"/>
          <w:szCs w:val="20"/>
        </w:rPr>
        <w:t xml:space="preserve"/>
      </w:r>
    </w:p>
    <w:p>
      <w:pPr>
        <w:spacing w:before="1800"/>
        <w:jc w:val="center"/>
      </w:pPr>
      <w:r>
        <w:rPr>
          <w:rFonts w:ascii="Calibri" w:cs="Calibri" w:eastAsia="Calibri" w:hAnsi="Calibri"/>
          <w:i/>
          <w:iCs/>
          <w:color w:val="1A1A1A"/>
          <w:sz w:val="18"/>
          <w:szCs w:val="18"/>
        </w:rPr>
        <w:t xml:space="preserve">Prepared by the SWDA Project QA/QC &amp; HSE Team</w:t>
      </w:r>
    </w:p>
    <w:p>
      <w:pPr>
        <w:spacing w:before="80"/>
        <w:jc w:val="center"/>
      </w:pPr>
      <w:r>
        <w:rPr>
          <w:rFonts w:ascii="Calibri" w:cs="Calibri" w:eastAsia="Calibri" w:hAnsi="Calibri"/>
          <w:i/>
          <w:iCs/>
          <w:color w:val="1A1A1A"/>
          <w:sz w:val="18"/>
          <w:szCs w:val="18"/>
        </w:rPr>
        <w:t xml:space="preserve">For Endorsement by the Group Chief Executive Officer / Managing Director</w:t>
      </w:r>
    </w:p>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0.0  Document Control</w:t>
      </w:r>
    </w:p>
    <w:p>
      <w:pPr>
        <w:pStyle w:val="Heading2"/>
        <w:spacing w:after="120" w:before="280"/>
      </w:pPr>
      <w:r>
        <w:rPr>
          <w:rFonts w:ascii="Calibri" w:cs="Calibri" w:eastAsia="Calibri" w:hAnsi="Calibri"/>
          <w:b/>
          <w:bCs/>
          <w:color w:val="0F6C6C"/>
          <w:sz w:val="24"/>
          <w:szCs w:val="24"/>
        </w:rPr>
        <w:t xml:space="preserve">0.1  Revision History</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2400"/>
        <w:gridCol w:w="2200"/>
        <w:gridCol w:w="1700"/>
      </w:tblGrid>
      <w:tr>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Revision No</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Description</w:t>
            </w:r>
          </w:p>
        </w:tc>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Prepared By</w:t>
            </w:r>
          </w:p>
        </w:tc>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Reviewed / Approved By</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Signature &amp; Date</w:t>
            </w:r>
          </w:p>
        </w:tc>
      </w:tr>
      <w:tr>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color w:val="1A1A1A"/>
                <w:sz w:val="16"/>
                <w:szCs w:val="16"/>
              </w:rPr>
              <w:t xml:space="preserve">0</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color w:val="1A1A1A"/>
                <w:sz w:val="16"/>
                <w:szCs w:val="16"/>
              </w:rPr>
              <w:t xml:space="preserve">Issued for MD Endorsement – consolidated Action Tracking Register (Inspections, Audits, Management Reviews, Community Engagement/CSR, Complaints)</w:t>
            </w:r>
          </w:p>
        </w:tc>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color w:val="1A1A1A"/>
                <w:sz w:val="16"/>
                <w:szCs w:val="16"/>
              </w:rPr>
              <w:t xml:space="preserve">SWDA QA/QC &amp; HSE Team</w:t>
            </w:r>
          </w:p>
        </w:tc>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color w:val="1A1A1A"/>
                <w:sz w:val="16"/>
                <w:szCs w:val="16"/>
              </w:rPr>
              <w:t xml:space="preserve">Engr. Norton Ned Jessup, P.E.</w:t>
            </w:r>
          </w:p>
        </w:tc>
        <w:tc>
          <w:tcPr>
            <w:tcW w:type="dxa" w:w="1700"/>
            <w:tcBorders>
              <w:top w:val="dashed" w:color="9AA5B1" w:sz="6"/>
              <w:left w:val="dashed" w:color="9AA5B1" w:sz="6"/>
              <w:bottom w:val="dashed" w:color="9AA5B1" w:sz="6"/>
              <w:right w:val="dashed" w:color="9AA5B1" w:sz="6"/>
            </w:tcBorders>
            <w:shd w:fill="FFFFFF" w:val="clear"/>
            <w:tcMar>
              <w:top w:type="dxa" w:w="80"/>
              <w:left w:type="dxa" w:w="100"/>
              <w:bottom w:type="dxa" w:w="80"/>
              <w:right w:type="dxa" w:w="100"/>
            </w:tcMar>
            <w:vAlign w:val="center"/>
          </w:tcPr>
          <w:p>
            <w:pPr>
              <w:spacing w:after="30"/>
              <w:jc w:val="center"/>
            </w:pPr>
            <w:r>
              <w:rPr>
                <w:rFonts w:ascii="Calibri" w:cs="Calibri" w:eastAsia="Calibri" w:hAnsi="Calibri"/>
                <w:i/>
                <w:iCs/>
                <w:color w:val="8A94A3"/>
                <w:sz w:val="14"/>
                <w:szCs w:val="14"/>
              </w:rPr>
              <w:t xml:space="preserve">[Signature]</w:t>
            </w:r>
          </w:p>
          <w:p>
            <w:pPr>
              <w:spacing w:after="0"/>
              <w:jc w:val="center"/>
            </w:pPr>
            <w:r>
              <w:rPr>
                <w:rFonts w:ascii="Calibri" w:cs="Calibri" w:eastAsia="Calibri" w:hAnsi="Calibri"/>
                <w:i/>
                <w:iCs/>
                <w:color w:val="8A94A3"/>
                <w:sz w:val="14"/>
                <w:szCs w:val="14"/>
              </w:rPr>
              <w:t xml:space="preserve">[Date]</w:t>
            </w:r>
          </w:p>
        </w:tc>
      </w:tr>
    </w:tbl>
    <w:p>
      <w:pPr>
        <w:spacing w:after="200" w:before="3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0.2  Approval &amp; Endorsement</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gridCol w:w="1800"/>
      </w:tblGrid>
      <w:tr>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Originated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Checked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Approved By</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6"/>
                <w:szCs w:val="16"/>
              </w:rPr>
              <w:t xml:space="preserve">Signature</w:t>
            </w:r>
          </w:p>
        </w:tc>
      </w:tr>
      <w:tr>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Engr. Norton Ned Jessup, P.E.</w:t>
            </w:r>
          </w:p>
          <w:p>
            <w:pPr>
              <w:spacing w:after="40"/>
              <w:jc w:val="center"/>
            </w:pPr>
            <w:r>
              <w:rPr>
                <w:rFonts w:ascii="Calibri" w:cs="Calibri" w:eastAsia="Calibri" w:hAnsi="Calibri"/>
                <w:b w:val="false"/>
                <w:bCs w:val="false"/>
                <w:i/>
                <w:iCs/>
                <w:color w:val="1A1A1A"/>
                <w:sz w:val="15"/>
                <w:szCs w:val="15"/>
              </w:rPr>
              <w:t xml:space="preserve">Chief Operating Officer / Executive Director &amp; Project Director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WT/MI</w:t>
            </w:r>
          </w:p>
          <w:p>
            <w:pPr>
              <w:spacing w:after="40"/>
              <w:jc w:val="center"/>
            </w:pPr>
            <w:r>
              <w:rPr>
                <w:rFonts w:ascii="Calibri" w:cs="Calibri" w:eastAsia="Calibri" w:hAnsi="Calibri"/>
                <w:b w:val="false"/>
                <w:bCs w:val="false"/>
                <w:i/>
                <w:iCs/>
                <w:color w:val="1A1A1A"/>
                <w:sz w:val="15"/>
                <w:szCs w:val="15"/>
              </w:rPr>
              <w:t xml:space="preserve">Checker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Gliffeth Wonuigwe</w:t>
            </w:r>
          </w:p>
          <w:p>
            <w:pPr>
              <w:spacing w:after="40"/>
              <w:jc w:val="center"/>
            </w:pPr>
            <w:r>
              <w:rPr>
                <w:rFonts w:ascii="Calibri" w:cs="Calibri" w:eastAsia="Calibri" w:hAnsi="Calibri"/>
                <w:b w:val="false"/>
                <w:bCs w:val="false"/>
                <w:i/>
                <w:iCs/>
                <w:color w:val="1A1A1A"/>
                <w:sz w:val="15"/>
                <w:szCs w:val="15"/>
              </w:rPr>
              <w:t xml:space="preserve">Group Chief Executive Officer / Managing Director</w:t>
            </w:r>
          </w:p>
        </w:tc>
        <w:tc>
          <w:tcPr>
            <w:tcW w:type="dxa" w:w="1800"/>
            <w:tcBorders>
              <w:top w:val="dashed" w:color="9AA5B1" w:sz="6"/>
              <w:left w:val="dashed" w:color="9AA5B1" w:sz="6"/>
              <w:bottom w:val="dashed" w:color="9AA5B1" w:sz="6"/>
              <w:right w:val="dashed" w:color="9AA5B1" w:sz="6"/>
            </w:tcBorders>
            <w:shd w:fill="FFFFFF" w:val="clear"/>
            <w:tcMar>
              <w:top w:type="dxa" w:w="700"/>
              <w:left w:type="dxa" w:w="120"/>
              <w:bottom w:type="dxa" w:w="200"/>
              <w:right w:type="dxa" w:w="120"/>
            </w:tcMar>
            <w:vAlign w:val="center"/>
          </w:tcPr>
          <w:p>
            <w:pPr>
              <w:spacing w:after="30"/>
              <w:jc w:val="center"/>
            </w:pPr>
            <w:r>
              <w:rPr>
                <w:rFonts w:ascii="Calibri" w:cs="Calibri" w:eastAsia="Calibri" w:hAnsi="Calibri"/>
                <w:i/>
                <w:iCs/>
                <w:color w:val="8A94A3"/>
                <w:sz w:val="15"/>
                <w:szCs w:val="15"/>
              </w:rPr>
              <w:t xml:space="preserve">[Insert Signature]</w:t>
            </w:r>
          </w:p>
          <w:p>
            <w:pPr>
              <w:spacing w:after="0"/>
              <w:jc w:val="center"/>
            </w:pPr>
            <w:r>
              <w:rPr>
                <w:rFonts w:ascii="Calibri" w:cs="Calibri" w:eastAsia="Calibri" w:hAnsi="Calibri"/>
                <w:i/>
                <w:iCs/>
                <w:color w:val="8A94A3"/>
                <w:sz w:val="15"/>
                <w:szCs w:val="15"/>
              </w:rPr>
              <w:t xml:space="preserve">Date: __________</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Table of Contents</w:t>
      </w:r>
    </w:p>
    <w:p>
      <w:pPr>
        <w:tabs>
          <w:tab w:val="right" w:pos="9026" w:leader="dot"/>
        </w:tabs>
        <w:spacing w:after="130"/>
      </w:pPr>
      <w:r>
        <w:rPr>
          <w:rFonts w:ascii="Calibri" w:cs="Calibri" w:eastAsia="Calibri" w:hAnsi="Calibri"/>
          <w:color w:val="1A1A1A"/>
          <w:sz w:val="21"/>
          <w:szCs w:val="21"/>
        </w:rPr>
        <w:t xml:space="preserve">0.0  Document Control</w:t>
      </w:r>
      <w:r>
        <w:rPr>
          <w:rFonts w:ascii="Calibri" w:cs="Calibri" w:eastAsia="Calibri" w:hAnsi="Calibri"/>
          <w:color w:val="1A1A1A"/>
          <w:sz w:val="21"/>
          <w:szCs w:val="21"/>
        </w:rPr>
        <w:t xml:space="preserve">	2</w:t>
      </w:r>
    </w:p>
    <w:p>
      <w:pPr>
        <w:tabs>
          <w:tab w:val="right" w:pos="9026" w:leader="dot"/>
        </w:tabs>
        <w:spacing w:after="130"/>
      </w:pPr>
      <w:r>
        <w:rPr>
          <w:rFonts w:ascii="Calibri" w:cs="Calibri" w:eastAsia="Calibri" w:hAnsi="Calibri"/>
          <w:color w:val="1A1A1A"/>
          <w:sz w:val="21"/>
          <w:szCs w:val="21"/>
        </w:rPr>
        <w:t xml:space="preserve">1.0  Introduction &amp; Purpose</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2.0  Scope &amp; Applicability</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3.0  Roles &amp; Responsibilities</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4.0  Action Tracking Methodology</w:t>
      </w:r>
      <w:r>
        <w:rPr>
          <w:rFonts w:ascii="Calibri" w:cs="Calibri" w:eastAsia="Calibri" w:hAnsi="Calibri"/>
          <w:color w:val="1A1A1A"/>
          <w:sz w:val="21"/>
          <w:szCs w:val="21"/>
        </w:rPr>
        <w:t xml:space="preserve">	5</w:t>
      </w:r>
    </w:p>
    <w:p>
      <w:pPr>
        <w:tabs>
          <w:tab w:val="right" w:pos="9026" w:leader="dot"/>
        </w:tabs>
        <w:spacing w:after="130"/>
      </w:pPr>
      <w:r>
        <w:rPr>
          <w:rFonts w:ascii="Calibri" w:cs="Calibri" w:eastAsia="Calibri" w:hAnsi="Calibri"/>
          <w:color w:val="1A1A1A"/>
          <w:sz w:val="21"/>
          <w:szCs w:val="21"/>
        </w:rPr>
        <w:t xml:space="preserve">5.0  Inspections Action Tracking Register</w:t>
      </w:r>
      <w:r>
        <w:rPr>
          <w:rFonts w:ascii="Calibri" w:cs="Calibri" w:eastAsia="Calibri" w:hAnsi="Calibri"/>
          <w:color w:val="1A1A1A"/>
          <w:sz w:val="21"/>
          <w:szCs w:val="21"/>
        </w:rPr>
        <w:t xml:space="preserve">	6</w:t>
      </w:r>
    </w:p>
    <w:p>
      <w:pPr>
        <w:tabs>
          <w:tab w:val="right" w:pos="9026" w:leader="dot"/>
        </w:tabs>
        <w:spacing w:after="130"/>
      </w:pPr>
      <w:r>
        <w:rPr>
          <w:rFonts w:ascii="Calibri" w:cs="Calibri" w:eastAsia="Calibri" w:hAnsi="Calibri"/>
          <w:color w:val="1A1A1A"/>
          <w:sz w:val="21"/>
          <w:szCs w:val="21"/>
        </w:rPr>
        <w:t xml:space="preserve">6.0  Audits Action Tracking Register</w:t>
      </w:r>
      <w:r>
        <w:rPr>
          <w:rFonts w:ascii="Calibri" w:cs="Calibri" w:eastAsia="Calibri" w:hAnsi="Calibri"/>
          <w:color w:val="1A1A1A"/>
          <w:sz w:val="21"/>
          <w:szCs w:val="21"/>
        </w:rPr>
        <w:t xml:space="preserve">	7</w:t>
      </w:r>
    </w:p>
    <w:p>
      <w:pPr>
        <w:tabs>
          <w:tab w:val="right" w:pos="9026" w:leader="dot"/>
        </w:tabs>
        <w:spacing w:after="130"/>
      </w:pPr>
      <w:r>
        <w:rPr>
          <w:rFonts w:ascii="Calibri" w:cs="Calibri" w:eastAsia="Calibri" w:hAnsi="Calibri"/>
          <w:color w:val="1A1A1A"/>
          <w:sz w:val="21"/>
          <w:szCs w:val="21"/>
        </w:rPr>
        <w:t xml:space="preserve">7.0  Management Reviews Action Tracking Register</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8.0  Community Engagement &amp; CSR Action Tracking Register</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9.0  Complaints &amp; Grievances Handling Register</w:t>
      </w:r>
      <w:r>
        <w:rPr>
          <w:rFonts w:ascii="Calibri" w:cs="Calibri" w:eastAsia="Calibri" w:hAnsi="Calibri"/>
          <w:color w:val="1A1A1A"/>
          <w:sz w:val="21"/>
          <w:szCs w:val="21"/>
        </w:rPr>
        <w:t xml:space="preserve">	10</w:t>
      </w:r>
    </w:p>
    <w:p>
      <w:pPr>
        <w:tabs>
          <w:tab w:val="right" w:pos="9026" w:leader="dot"/>
        </w:tabs>
        <w:spacing w:after="130"/>
      </w:pPr>
      <w:r>
        <w:rPr>
          <w:rFonts w:ascii="Calibri" w:cs="Calibri" w:eastAsia="Calibri" w:hAnsi="Calibri"/>
          <w:color w:val="1A1A1A"/>
          <w:sz w:val="21"/>
          <w:szCs w:val="21"/>
        </w:rPr>
        <w:t xml:space="preserve">10.0  Summary Status Dashboard</w:t>
      </w:r>
      <w:r>
        <w:rPr>
          <w:rFonts w:ascii="Calibri" w:cs="Calibri" w:eastAsia="Calibri" w:hAnsi="Calibri"/>
          <w:color w:val="1A1A1A"/>
          <w:sz w:val="21"/>
          <w:szCs w:val="21"/>
        </w:rPr>
        <w:t xml:space="preserve">	11</w:t>
      </w:r>
    </w:p>
    <w:p>
      <w:pPr>
        <w:tabs>
          <w:tab w:val="right" w:pos="9026" w:leader="dot"/>
        </w:tabs>
        <w:spacing w:after="130"/>
      </w:pPr>
      <w:r>
        <w:rPr>
          <w:rFonts w:ascii="Calibri" w:cs="Calibri" w:eastAsia="Calibri" w:hAnsi="Calibri"/>
          <w:color w:val="1A1A1A"/>
          <w:sz w:val="21"/>
          <w:szCs w:val="21"/>
        </w:rPr>
        <w:t xml:space="preserve">11.0  Close-Out &amp; Verification Process</w:t>
      </w:r>
      <w:r>
        <w:rPr>
          <w:rFonts w:ascii="Calibri" w:cs="Calibri" w:eastAsia="Calibri" w:hAnsi="Calibri"/>
          <w:color w:val="1A1A1A"/>
          <w:sz w:val="21"/>
          <w:szCs w:val="21"/>
        </w:rPr>
        <w:t xml:space="preserve">	11</w:t>
      </w:r>
    </w:p>
    <w:p>
      <w:pPr>
        <w:tabs>
          <w:tab w:val="right" w:pos="9026" w:leader="dot"/>
        </w:tabs>
        <w:spacing w:after="130"/>
      </w:pPr>
      <w:r>
        <w:rPr>
          <w:rFonts w:ascii="Calibri" w:cs="Calibri" w:eastAsia="Calibri" w:hAnsi="Calibri"/>
          <w:color w:val="1A1A1A"/>
          <w:sz w:val="21"/>
          <w:szCs w:val="21"/>
        </w:rPr>
        <w:t xml:space="preserve">12.0  Endorsement</w:t>
      </w:r>
      <w:r>
        <w:rPr>
          <w:rFonts w:ascii="Calibri" w:cs="Calibri" w:eastAsia="Calibri" w:hAnsi="Calibri"/>
          <w:color w:val="1A1A1A"/>
          <w:sz w:val="21"/>
          <w:szCs w:val="21"/>
        </w:rPr>
        <w:t xml:space="preserve">	13</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1.0  Introduction &amp; Purpose</w:t>
      </w:r>
    </w:p>
    <w:p>
      <w:pPr>
        <w:spacing w:after="120"/>
      </w:pPr>
      <w:r>
        <w:rPr>
          <w:rFonts w:ascii="Calibri" w:cs="Calibri" w:eastAsia="Calibri" w:hAnsi="Calibri"/>
          <w:color w:val="1A1A1A"/>
          <w:sz w:val="20"/>
          <w:szCs w:val="20"/>
        </w:rPr>
        <w:t xml:space="preserve">This SWDA Project Action Tracking Register (“the Register”) consolidates all open, in-progress and closed action items arising from the five principal governance and assurance activities conducted across the 18-Tank Automatic Tank Cleaning (ATC) and No-Man Entry (NME) Project sites at Bonny, Gbaran, Soku, Forcados and Kidney Island (Port Harcourt), namely:</w:t>
      </w:r>
    </w:p>
    <w:p>
      <w:pPr>
        <w:pStyle w:val="ListParagraph"/>
        <w:numPr>
          <w:ilvl w:val="0"/>
          <w:numId w:val="2"/>
        </w:numPr>
        <w:spacing w:after="80"/>
      </w:pPr>
      <w:r>
        <w:rPr>
          <w:rFonts w:ascii="Calibri" w:cs="Calibri" w:eastAsia="Calibri" w:hAnsi="Calibri"/>
          <w:color w:val="1A1A1A"/>
          <w:sz w:val="20"/>
          <w:szCs w:val="20"/>
        </w:rPr>
        <w:t xml:space="preserve">Site HSE and QA/QC Inspections;</w:t>
      </w:r>
    </w:p>
    <w:p>
      <w:pPr>
        <w:pStyle w:val="ListParagraph"/>
        <w:numPr>
          <w:ilvl w:val="0"/>
          <w:numId w:val="2"/>
        </w:numPr>
        <w:spacing w:after="80"/>
      </w:pPr>
      <w:r>
        <w:rPr>
          <w:rFonts w:ascii="Calibri" w:cs="Calibri" w:eastAsia="Calibri" w:hAnsi="Calibri"/>
          <w:color w:val="1A1A1A"/>
          <w:sz w:val="20"/>
          <w:szCs w:val="20"/>
        </w:rPr>
        <w:t xml:space="preserve">Internal, client and third-party Audits;</w:t>
      </w:r>
    </w:p>
    <w:p>
      <w:pPr>
        <w:pStyle w:val="ListParagraph"/>
        <w:numPr>
          <w:ilvl w:val="0"/>
          <w:numId w:val="2"/>
        </w:numPr>
        <w:spacing w:after="80"/>
      </w:pPr>
      <w:r>
        <w:rPr>
          <w:rFonts w:ascii="Calibri" w:cs="Calibri" w:eastAsia="Calibri" w:hAnsi="Calibri"/>
          <w:color w:val="1A1A1A"/>
          <w:sz w:val="20"/>
          <w:szCs w:val="20"/>
        </w:rPr>
        <w:t xml:space="preserve">Project and Management Reviews;</w:t>
      </w:r>
    </w:p>
    <w:p>
      <w:pPr>
        <w:pStyle w:val="ListParagraph"/>
        <w:numPr>
          <w:ilvl w:val="0"/>
          <w:numId w:val="2"/>
        </w:numPr>
        <w:spacing w:after="80"/>
      </w:pPr>
      <w:r>
        <w:rPr>
          <w:rFonts w:ascii="Calibri" w:cs="Calibri" w:eastAsia="Calibri" w:hAnsi="Calibri"/>
          <w:color w:val="1A1A1A"/>
          <w:sz w:val="20"/>
          <w:szCs w:val="20"/>
        </w:rPr>
        <w:t xml:space="preserve">Community Engagement and Corporate Social Responsibility (CSR) activities; and</w:t>
      </w:r>
    </w:p>
    <w:p>
      <w:pPr>
        <w:pStyle w:val="ListParagraph"/>
        <w:numPr>
          <w:ilvl w:val="0"/>
          <w:numId w:val="2"/>
        </w:numPr>
        <w:spacing w:after="80"/>
      </w:pPr>
      <w:r>
        <w:rPr>
          <w:rFonts w:ascii="Calibri" w:cs="Calibri" w:eastAsia="Calibri" w:hAnsi="Calibri"/>
          <w:color w:val="1A1A1A"/>
          <w:sz w:val="20"/>
          <w:szCs w:val="20"/>
        </w:rPr>
        <w:t xml:space="preserve">Complaints and Grievances handling (community, worker and customer).</w:t>
      </w:r>
    </w:p>
    <w:p>
      <w:pPr>
        <w:spacing w:after="120"/>
      </w:pPr>
      <w:r>
        <w:rPr>
          <w:rFonts w:ascii="Calibri" w:cs="Calibri" w:eastAsia="Calibri" w:hAnsi="Calibri"/>
          <w:color w:val="1A1A1A"/>
          <w:sz w:val="20"/>
          <w:szCs w:val="20"/>
        </w:rPr>
        <w:t xml:space="preserve">The Register provides a single point of reference for SWDA Senior Management, the Group CEO/Managing Director, and Renaissance Africa Energy Company (RAEC) to monitor the status of corrective, preventive and improvement actions from inception through verified close-out, in line with SWDA's Quality Management System (QMS), HSE Management System (HSE-MS), and the Project's Community Engagement Plan (CEP).</w:t>
      </w:r>
    </w:p>
    <w:p>
      <w:pPr>
        <w:pStyle w:val="Heading1"/>
        <w:pBdr>
          <w:bottom w:val="single" w:color="0F6C6C" w:sz="8" w:space="4"/>
        </w:pBdr>
        <w:spacing w:after="160" w:before="360"/>
      </w:pPr>
      <w:r>
        <w:rPr>
          <w:rFonts w:ascii="Calibri" w:cs="Calibri" w:eastAsia="Calibri" w:hAnsi="Calibri"/>
          <w:b/>
          <w:bCs/>
          <w:color w:val="1B2A4A"/>
          <w:sz w:val="28"/>
          <w:szCs w:val="28"/>
        </w:rPr>
        <w:t xml:space="preserve">2.0  Scope &amp; Applicability</w:t>
      </w:r>
    </w:p>
    <w:p>
      <w:pPr>
        <w:spacing w:after="120"/>
      </w:pPr>
      <w:r>
        <w:rPr>
          <w:rFonts w:ascii="Calibri" w:cs="Calibri" w:eastAsia="Calibri" w:hAnsi="Calibri"/>
          <w:color w:val="1A1A1A"/>
          <w:sz w:val="20"/>
          <w:szCs w:val="20"/>
        </w:rPr>
        <w:t xml:space="preserve">This Register applies to all action items generated across the four active Renaissance tank site locations for the duration of the ATC/NME Project (Contract/Tender Nos. CW-68582 and CW-515913), and covers actions raised by SWDA's own QA/QC and HSE teams, RAEC as Client, independent third-party auditors and monitors, Host Communities, and project workers.</w:t>
      </w:r>
    </w:p>
    <w:p>
      <w:pPr>
        <w:spacing w:after="120"/>
      </w:pPr>
      <w:r>
        <w:rPr>
          <w:rFonts w:ascii="Calibri" w:cs="Calibri" w:eastAsia="Calibri" w:hAnsi="Calibri"/>
          <w:color w:val="1A1A1A"/>
          <w:sz w:val="20"/>
          <w:szCs w:val="20"/>
        </w:rPr>
        <w:t xml:space="preserve">The Register is a living project-controlled document, updated on an ongoing basis and formally reviewed at each Monthly HSE Performance Review and Quarterly Project Management Review.</w:t>
      </w:r>
    </w:p>
    <w:p>
      <w:pPr>
        <w:pStyle w:val="Heading1"/>
        <w:pBdr>
          <w:bottom w:val="single" w:color="0F6C6C" w:sz="8" w:space="4"/>
        </w:pBdr>
        <w:spacing w:after="160" w:before="360"/>
      </w:pPr>
      <w:r>
        <w:rPr>
          <w:rFonts w:ascii="Calibri" w:cs="Calibri" w:eastAsia="Calibri" w:hAnsi="Calibri"/>
          <w:b/>
          <w:bCs/>
          <w:color w:val="1B2A4A"/>
          <w:sz w:val="28"/>
          <w:szCs w:val="28"/>
        </w:rPr>
        <w:t xml:space="preserve">3.0  Roles &amp; Responsibilities</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200"/>
        <w:gridCol w:w="7900"/>
      </w:tblGrid>
      <w:tr>
        <w:tc>
          <w:tcPr>
            <w:tcW w:type="dxa" w:w="3200"/>
            <w:shd w:fill="1B2A4A" w:val="clear"/>
            <w:tcMar>
              <w:top w:type="dxa" w:w="80"/>
              <w:left w:type="dxa" w:w="120"/>
              <w:bottom w:type="dxa" w:w="80"/>
              <w:right w:type="dxa" w:w="120"/>
            </w:tcMar>
            <w:vAlign w:val="center"/>
          </w:tcPr>
          <w:p>
            <w:pPr>
              <w:spacing w:after="0"/>
              <w:jc w:val="left"/>
            </w:pPr>
            <w:r>
              <w:rPr>
                <w:rFonts w:ascii="Calibri" w:cs="Calibri" w:eastAsia="Calibri" w:hAnsi="Calibri"/>
                <w:b/>
                <w:bCs/>
                <w:color w:val="FFFFFF"/>
                <w:sz w:val="17"/>
                <w:szCs w:val="17"/>
              </w:rPr>
              <w:t xml:space="preserve">Role</w:t>
            </w:r>
          </w:p>
        </w:tc>
        <w:tc>
          <w:tcPr>
            <w:tcW w:type="dxa" w:w="7900"/>
            <w:shd w:fill="1B2A4A" w:val="clear"/>
            <w:tcMar>
              <w:top w:type="dxa" w:w="80"/>
              <w:left w:type="dxa" w:w="120"/>
              <w:bottom w:type="dxa" w:w="80"/>
              <w:right w:type="dxa" w:w="120"/>
            </w:tcMar>
            <w:vAlign w:val="center"/>
          </w:tcPr>
          <w:p>
            <w:pPr>
              <w:spacing w:after="0"/>
              <w:jc w:val="left"/>
            </w:pPr>
            <w:r>
              <w:rPr>
                <w:rFonts w:ascii="Calibri" w:cs="Calibri" w:eastAsia="Calibri" w:hAnsi="Calibri"/>
                <w:b/>
                <w:bCs/>
                <w:color w:val="FFFFFF"/>
                <w:sz w:val="17"/>
                <w:szCs w:val="17"/>
              </w:rPr>
              <w:t xml:space="preserve">Responsibility for the Action Tracking Register</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Group CEO / Managing Director (Gliffeth Wonuigwe)</w:t>
            </w:r>
          </w:p>
        </w:tc>
        <w:tc>
          <w:tcPr>
            <w:tcW w:type="dxa" w:w="79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Final endorsement of the Register; escalation point for unresolved high-severity or overdue actions; oversight of overall corporate accountability.</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COO/ED &amp; Project Director (Engr. Norton Ned Jessup, P.E.)</w:t>
            </w:r>
          </w:p>
        </w:tc>
        <w:tc>
          <w:tcPr>
            <w:tcW w:type="dxa" w:w="79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Overall project accountability for timely close-out of all action items; chairs Quarterly Project Management Reviews; originates and approves the Register.</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QA/QC Manager</w:t>
            </w:r>
          </w:p>
        </w:tc>
        <w:tc>
          <w:tcPr>
            <w:tcW w:type="dxa" w:w="79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Owns the Project Action Tracking System (PATS); administers audit and NCR-related entries; monitors close-out and reports delayed actions to the Project Director.</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Project HSE Manager</w:t>
            </w:r>
          </w:p>
        </w:tc>
        <w:tc>
          <w:tcPr>
            <w:tcW w:type="dxa" w:w="79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Owns inspection- and incident-related entries; verifies effectiveness of HSE corrective/preventive actions; reports HSE KPI trends.</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Community Liaison Officers (CLOs) / HESO</w:t>
            </w:r>
          </w:p>
        </w:tc>
        <w:tc>
          <w:tcPr>
            <w:tcW w:type="dxa" w:w="79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Own community engagement, CSR and grievance-related entries; maintain 3-Tier Escalation / 14-day resolution tracking; liaise with the Community Engagement Committee (CEC).</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Workers Welfare Committee (WWC)</w:t>
            </w:r>
          </w:p>
        </w:tc>
        <w:tc>
          <w:tcPr>
            <w:tcW w:type="dxa" w:w="79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Owns worker-welfare-related grievance entries and verifies resolution within the 7-calendar-day KPI target.</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Checker (WT/MI)</w:t>
            </w:r>
          </w:p>
        </w:tc>
        <w:tc>
          <w:tcPr>
            <w:tcW w:type="dxa" w:w="79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Independent check of Register completeness and accuracy prior to issue for endorsement.</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B2A4A"/>
                <w:sz w:val="17"/>
                <w:szCs w:val="17"/>
              </w:rPr>
              <w:t xml:space="preserve">Action Owners (as assigned)</w:t>
            </w:r>
          </w:p>
        </w:tc>
        <w:tc>
          <w:tcPr>
            <w:tcW w:type="dxa" w:w="79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7"/>
                <w:szCs w:val="17"/>
              </w:rPr>
              <w:t xml:space="preserve">Responsible for implementing and evidencing close-out of individually assigned actions by the agreed target date.</w:t>
            </w:r>
          </w:p>
        </w:tc>
      </w:tr>
    </w:tbl>
    <w:p>
      <w:pPr>
        <w:spacing w:before="300"/>
      </w:pPr>
      <w:r>
        <w:rPr>
          <w:rFonts w:ascii="Calibri" w:cs="Calibri" w:eastAsia="Calibri" w:hAnsi="Calibri"/>
          <w:color w:val="1A1A1A"/>
          <w:sz w:val="20"/>
          <w:szCs w:val="20"/>
        </w:rPr>
        <w:t xml:space="preserve"/>
      </w:r>
    </w:p>
    <w:p>
      <w:pPr>
        <w:pStyle w:val="Heading1"/>
        <w:pBdr>
          <w:bottom w:val="single" w:color="0F6C6C" w:sz="8" w:space="4"/>
        </w:pBdr>
        <w:spacing w:after="160" w:before="360"/>
      </w:pPr>
      <w:r>
        <w:rPr>
          <w:rFonts w:ascii="Calibri" w:cs="Calibri" w:eastAsia="Calibri" w:hAnsi="Calibri"/>
          <w:b/>
          <w:bCs/>
          <w:color w:val="1B2A4A"/>
          <w:sz w:val="28"/>
          <w:szCs w:val="28"/>
        </w:rPr>
        <w:t xml:space="preserve">4.0  Action Tracking Methodology</w:t>
      </w:r>
    </w:p>
    <w:p>
      <w:pPr>
        <w:pStyle w:val="Heading2"/>
        <w:spacing w:after="120" w:before="280"/>
      </w:pPr>
      <w:r>
        <w:rPr>
          <w:rFonts w:ascii="Calibri" w:cs="Calibri" w:eastAsia="Calibri" w:hAnsi="Calibri"/>
          <w:b/>
          <w:bCs/>
          <w:color w:val="0F6C6C"/>
          <w:sz w:val="24"/>
          <w:szCs w:val="24"/>
        </w:rPr>
        <w:t xml:space="preserve">4.1  Register Structure</w:t>
      </w:r>
    </w:p>
    <w:p>
      <w:pPr>
        <w:spacing w:after="120"/>
      </w:pPr>
      <w:r>
        <w:rPr>
          <w:rFonts w:ascii="Calibri" w:cs="Calibri" w:eastAsia="Calibri" w:hAnsi="Calibri"/>
          <w:color w:val="1A1A1A"/>
          <w:sz w:val="20"/>
          <w:szCs w:val="20"/>
        </w:rPr>
        <w:t xml:space="preserve">Each action item is recorded against a consistent set of fields to enable consolidated reporting and trend analysis:</w:t>
      </w:r>
    </w:p>
    <w:p>
      <w:pPr>
        <w:pStyle w:val="ListParagraph"/>
        <w:numPr>
          <w:ilvl w:val="0"/>
          <w:numId w:val="2"/>
        </w:numPr>
        <w:spacing w:after="80"/>
      </w:pPr>
      <w:r>
        <w:rPr>
          <w:rFonts w:ascii="Calibri" w:cs="Calibri" w:eastAsia="Calibri" w:hAnsi="Calibri"/>
          <w:color w:val="1A1A1A"/>
          <w:sz w:val="20"/>
          <w:szCs w:val="20"/>
        </w:rPr>
        <w:t xml:space="preserve">Ref. No. – unique identifier by source category (INS = Inspection, AUD = Audit, MR = Management Review, CEC/CSR = Community Engagement/CSR, GRV = Grievance/Complaint);</w:t>
      </w:r>
    </w:p>
    <w:p>
      <w:pPr>
        <w:pStyle w:val="ListParagraph"/>
        <w:numPr>
          <w:ilvl w:val="0"/>
          <w:numId w:val="2"/>
        </w:numPr>
        <w:spacing w:after="80"/>
      </w:pPr>
      <w:r>
        <w:rPr>
          <w:rFonts w:ascii="Calibri" w:cs="Calibri" w:eastAsia="Calibri" w:hAnsi="Calibri"/>
          <w:color w:val="1A1A1A"/>
          <w:sz w:val="20"/>
          <w:szCs w:val="20"/>
        </w:rPr>
        <w:t xml:space="preserve">Source – the specific inspection, audit, review, engagement or complaint that generated the action;</w:t>
      </w:r>
    </w:p>
    <w:p>
      <w:pPr>
        <w:pStyle w:val="ListParagraph"/>
        <w:numPr>
          <w:ilvl w:val="0"/>
          <w:numId w:val="2"/>
        </w:numPr>
        <w:spacing w:after="80"/>
      </w:pPr>
      <w:r>
        <w:rPr>
          <w:rFonts w:ascii="Calibri" w:cs="Calibri" w:eastAsia="Calibri" w:hAnsi="Calibri"/>
          <w:color w:val="1A1A1A"/>
          <w:sz w:val="20"/>
          <w:szCs w:val="20"/>
        </w:rPr>
        <w:t xml:space="preserve">Date Raised – the date the finding or action was first identified;</w:t>
      </w:r>
    </w:p>
    <w:p>
      <w:pPr>
        <w:pStyle w:val="ListParagraph"/>
        <w:numPr>
          <w:ilvl w:val="0"/>
          <w:numId w:val="2"/>
        </w:numPr>
        <w:spacing w:after="80"/>
      </w:pPr>
      <w:r>
        <w:rPr>
          <w:rFonts w:ascii="Calibri" w:cs="Calibri" w:eastAsia="Calibri" w:hAnsi="Calibri"/>
          <w:color w:val="1A1A1A"/>
          <w:sz w:val="20"/>
          <w:szCs w:val="20"/>
        </w:rPr>
        <w:t xml:space="preserve">Finding / Action Description – a clear statement of the issue and the corrective, preventive or improvement action required;</w:t>
      </w:r>
    </w:p>
    <w:p>
      <w:pPr>
        <w:pStyle w:val="ListParagraph"/>
        <w:numPr>
          <w:ilvl w:val="0"/>
          <w:numId w:val="2"/>
        </w:numPr>
        <w:spacing w:after="80"/>
      </w:pPr>
      <w:r>
        <w:rPr>
          <w:rFonts w:ascii="Calibri" w:cs="Calibri" w:eastAsia="Calibri" w:hAnsi="Calibri"/>
          <w:color w:val="1A1A1A"/>
          <w:sz w:val="20"/>
          <w:szCs w:val="20"/>
        </w:rPr>
        <w:t xml:space="preserve">Action Owner – the individual or role accountable for close-out;</w:t>
      </w:r>
    </w:p>
    <w:p>
      <w:pPr>
        <w:pStyle w:val="ListParagraph"/>
        <w:numPr>
          <w:ilvl w:val="0"/>
          <w:numId w:val="2"/>
        </w:numPr>
        <w:spacing w:after="80"/>
      </w:pPr>
      <w:r>
        <w:rPr>
          <w:rFonts w:ascii="Calibri" w:cs="Calibri" w:eastAsia="Calibri" w:hAnsi="Calibri"/>
          <w:color w:val="1A1A1A"/>
          <w:sz w:val="20"/>
          <w:szCs w:val="20"/>
        </w:rPr>
        <w:t xml:space="preserve">Target Date – the agreed date for close-out;</w:t>
      </w:r>
    </w:p>
    <w:p>
      <w:pPr>
        <w:pStyle w:val="ListParagraph"/>
        <w:numPr>
          <w:ilvl w:val="0"/>
          <w:numId w:val="2"/>
        </w:numPr>
        <w:spacing w:after="80"/>
      </w:pPr>
      <w:r>
        <w:rPr>
          <w:rFonts w:ascii="Calibri" w:cs="Calibri" w:eastAsia="Calibri" w:hAnsi="Calibri"/>
          <w:color w:val="1A1A1A"/>
          <w:sz w:val="20"/>
          <w:szCs w:val="20"/>
        </w:rPr>
        <w:t xml:space="preserve">Status – Open, In Progress, Closed, or Overdue (RAG-coded: red = Open/Overdue, amber = In Progress, green = Closed);</w:t>
      </w:r>
    </w:p>
    <w:p>
      <w:pPr>
        <w:pStyle w:val="ListParagraph"/>
        <w:numPr>
          <w:ilvl w:val="0"/>
          <w:numId w:val="2"/>
        </w:numPr>
        <w:spacing w:after="80"/>
      </w:pPr>
      <w:r>
        <w:rPr>
          <w:rFonts w:ascii="Calibri" w:cs="Calibri" w:eastAsia="Calibri" w:hAnsi="Calibri"/>
          <w:color w:val="1A1A1A"/>
          <w:sz w:val="20"/>
          <w:szCs w:val="20"/>
        </w:rPr>
        <w:t xml:space="preserve">Closure Date – the verified date of close-out; and</w:t>
      </w:r>
    </w:p>
    <w:p>
      <w:pPr>
        <w:pStyle w:val="ListParagraph"/>
        <w:numPr>
          <w:ilvl w:val="0"/>
          <w:numId w:val="2"/>
        </w:numPr>
        <w:spacing w:after="80"/>
      </w:pPr>
      <w:r>
        <w:rPr>
          <w:rFonts w:ascii="Calibri" w:cs="Calibri" w:eastAsia="Calibri" w:hAnsi="Calibri"/>
          <w:color w:val="1A1A1A"/>
          <w:sz w:val="20"/>
          <w:szCs w:val="20"/>
        </w:rPr>
        <w:t xml:space="preserve">Verification – the evidence and method used to confirm effective close-out.</w:t>
      </w:r>
    </w:p>
    <w:p>
      <w:pPr>
        <w:pStyle w:val="Heading2"/>
        <w:spacing w:after="120" w:before="280"/>
      </w:pPr>
      <w:r>
        <w:rPr>
          <w:rFonts w:ascii="Calibri" w:cs="Calibri" w:eastAsia="Calibri" w:hAnsi="Calibri"/>
          <w:b/>
          <w:bCs/>
          <w:color w:val="0F6C6C"/>
          <w:sz w:val="24"/>
          <w:szCs w:val="24"/>
        </w:rPr>
        <w:t xml:space="preserve">4.2  Governing Procedures</w:t>
      </w:r>
    </w:p>
    <w:p>
      <w:pPr>
        <w:spacing w:after="120"/>
      </w:pPr>
      <w:r>
        <w:rPr>
          <w:rFonts w:ascii="Calibri" w:cs="Calibri" w:eastAsia="Calibri" w:hAnsi="Calibri"/>
          <w:color w:val="1A1A1A"/>
          <w:sz w:val="20"/>
          <w:szCs w:val="20"/>
        </w:rPr>
        <w:t xml:space="preserve">The Register operationalises requirements set out in the following SWDA project procedures and plans:</w:t>
      </w:r>
    </w:p>
    <w:p>
      <w:pPr>
        <w:pStyle w:val="ListParagraph"/>
        <w:numPr>
          <w:ilvl w:val="0"/>
          <w:numId w:val="2"/>
        </w:numPr>
        <w:spacing w:after="80"/>
      </w:pPr>
      <w:r>
        <w:rPr>
          <w:rFonts w:ascii="Calibri" w:cs="Calibri" w:eastAsia="Calibri" w:hAnsi="Calibri"/>
          <w:color w:val="1A1A1A"/>
          <w:sz w:val="20"/>
          <w:szCs w:val="20"/>
        </w:rPr>
        <w:t xml:space="preserve">QA/QC Plan – Project Action Tracking System (PATS), Non-Conformance Control Procedure, Corrective and Preventive Action Procedures, and Section 8.0 Quality Plan &amp; Quality Audits;</w:t>
      </w:r>
    </w:p>
    <w:p>
      <w:pPr>
        <w:pStyle w:val="ListParagraph"/>
        <w:numPr>
          <w:ilvl w:val="0"/>
          <w:numId w:val="2"/>
        </w:numPr>
        <w:spacing w:after="80"/>
      </w:pPr>
      <w:r>
        <w:rPr>
          <w:rFonts w:ascii="Calibri" w:cs="Calibri" w:eastAsia="Calibri" w:hAnsi="Calibri"/>
          <w:color w:val="1A1A1A"/>
          <w:sz w:val="20"/>
          <w:szCs w:val="20"/>
        </w:rPr>
        <w:t xml:space="preserve">HSE Plan – Section 4.6.3 (HSE Non-Compliance &amp; Corrective Actions) and Section 4.6.4 (HSE Incident Reporting &amp; Follow-Up);</w:t>
      </w:r>
    </w:p>
    <w:p>
      <w:pPr>
        <w:pStyle w:val="ListParagraph"/>
        <w:numPr>
          <w:ilvl w:val="0"/>
          <w:numId w:val="2"/>
        </w:numPr>
        <w:spacing w:after="80"/>
      </w:pPr>
      <w:r>
        <w:rPr>
          <w:rFonts w:ascii="Calibri" w:cs="Calibri" w:eastAsia="Calibri" w:hAnsi="Calibri"/>
          <w:color w:val="1A1A1A"/>
          <w:sz w:val="20"/>
          <w:szCs w:val="20"/>
        </w:rPr>
        <w:t xml:space="preserve">Community Engagement Plan (CEP) – Section 4.11 (Community Conflict Prevention &amp; Resolution) and Section 4.12 (Community Affairs Monitoring &amp; Reporting), including the 3-Tier Grievance Escalation Mechanism;</w:t>
      </w:r>
    </w:p>
    <w:p>
      <w:pPr>
        <w:pStyle w:val="ListParagraph"/>
        <w:numPr>
          <w:ilvl w:val="0"/>
          <w:numId w:val="2"/>
        </w:numPr>
        <w:spacing w:after="80"/>
      </w:pPr>
      <w:r>
        <w:rPr>
          <w:rFonts w:ascii="Calibri" w:cs="Calibri" w:eastAsia="Calibri" w:hAnsi="Calibri"/>
          <w:color w:val="1A1A1A"/>
          <w:sz w:val="20"/>
          <w:szCs w:val="20"/>
        </w:rPr>
        <w:t xml:space="preserve">Workers Welfare Management Plan (WWMP) – Section 4.1 (Audits, Inspections &amp; Reviews) and associated worker-grievance KPIs.</w:t>
      </w:r>
    </w:p>
    <w:p>
      <w:pPr>
        <w:pStyle w:val="Heading2"/>
        <w:spacing w:after="120" w:before="280"/>
      </w:pPr>
      <w:r>
        <w:rPr>
          <w:rFonts w:ascii="Calibri" w:cs="Calibri" w:eastAsia="Calibri" w:hAnsi="Calibri"/>
          <w:b/>
          <w:bCs/>
          <w:color w:val="0F6C6C"/>
          <w:sz w:val="24"/>
          <w:szCs w:val="24"/>
        </w:rPr>
        <w:t xml:space="preserve">4.3  Status Definitions &amp; RAG Coding</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6700"/>
      </w:tblGrid>
      <w:tr>
        <w:tc>
          <w:tcPr>
            <w:tcW w:type="dxa" w:w="2200"/>
            <w:shd w:fill="1B2A4A" w:val="clear"/>
            <w:tcMar>
              <w:top w:type="dxa" w:w="80"/>
              <w:left w:type="dxa" w:w="120"/>
              <w:bottom w:type="dxa" w:w="80"/>
              <w:right w:type="dxa" w:w="120"/>
            </w:tcMar>
            <w:vAlign w:val="center"/>
          </w:tcPr>
          <w:p>
            <w:pPr>
              <w:spacing w:after="0"/>
              <w:jc w:val="left"/>
            </w:pPr>
            <w:r>
              <w:rPr>
                <w:rFonts w:ascii="Calibri" w:cs="Calibri" w:eastAsia="Calibri" w:hAnsi="Calibri"/>
                <w:b/>
                <w:bCs/>
                <w:color w:val="FFFFFF"/>
                <w:sz w:val="17"/>
                <w:szCs w:val="17"/>
              </w:rPr>
              <w:t xml:space="preserve">Status</w:t>
            </w:r>
          </w:p>
        </w:tc>
        <w:tc>
          <w:tcPr>
            <w:tcW w:type="dxa" w:w="2200"/>
            <w:shd w:fill="1B2A4A" w:val="clear"/>
            <w:tcMar>
              <w:top w:type="dxa" w:w="80"/>
              <w:left w:type="dxa" w:w="120"/>
              <w:bottom w:type="dxa" w:w="80"/>
              <w:right w:type="dxa" w:w="120"/>
            </w:tcMar>
            <w:vAlign w:val="center"/>
          </w:tcPr>
          <w:p>
            <w:pPr>
              <w:spacing w:after="0"/>
              <w:jc w:val="left"/>
            </w:pPr>
            <w:r>
              <w:rPr>
                <w:rFonts w:ascii="Calibri" w:cs="Calibri" w:eastAsia="Calibri" w:hAnsi="Calibri"/>
                <w:b/>
                <w:bCs/>
                <w:color w:val="FFFFFF"/>
                <w:sz w:val="17"/>
                <w:szCs w:val="17"/>
              </w:rPr>
              <w:t xml:space="preserve">RAG</w:t>
            </w:r>
          </w:p>
        </w:tc>
        <w:tc>
          <w:tcPr>
            <w:tcW w:type="dxa" w:w="2200"/>
            <w:shd w:fill="1B2A4A" w:val="clear"/>
            <w:tcMar>
              <w:top w:type="dxa" w:w="80"/>
              <w:left w:type="dxa" w:w="120"/>
              <w:bottom w:type="dxa" w:w="80"/>
              <w:right w:type="dxa" w:w="120"/>
            </w:tcMar>
            <w:vAlign w:val="center"/>
          </w:tcPr>
          <w:p>
            <w:pPr>
              <w:spacing w:after="0"/>
              <w:jc w:val="left"/>
            </w:pPr>
            <w:r>
              <w:rPr>
                <w:rFonts w:ascii="Calibri" w:cs="Calibri" w:eastAsia="Calibri" w:hAnsi="Calibri"/>
                <w:b/>
                <w:bCs/>
                <w:color w:val="FFFFFF"/>
                <w:sz w:val="17"/>
                <w:szCs w:val="17"/>
              </w:rPr>
              <w:t xml:space="preserve">Definition</w:t>
            </w:r>
          </w:p>
        </w:tc>
      </w:tr>
      <w:tr>
        <w:tc>
          <w:tcPr>
            <w:tcW w:type="dxa" w:w="22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Open</w:t>
            </w:r>
          </w:p>
        </w:tc>
        <w:tc>
          <w:tcPr>
            <w:tcW w:type="dxa" w:w="2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A1A1A"/>
                <w:sz w:val="16"/>
                <w:szCs w:val="16"/>
              </w:rPr>
              <w:t xml:space="preserve">Red</w:t>
            </w:r>
          </w:p>
        </w:tc>
        <w:tc>
          <w:tcPr>
            <w:tcW w:type="dxa" w:w="67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Action identified; work to close it out has not yet commenced, or is not yet due for progress reporting.</w:t>
            </w:r>
          </w:p>
        </w:tc>
      </w:tr>
      <w:tr>
        <w:tc>
          <w:tcPr>
            <w:tcW w:type="dxa" w:w="22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In Progress</w:t>
            </w:r>
          </w:p>
        </w:tc>
        <w:tc>
          <w:tcPr>
            <w:tcW w:type="dxa" w:w="2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A1A1A"/>
                <w:sz w:val="16"/>
                <w:szCs w:val="16"/>
              </w:rPr>
              <w:t xml:space="preserve">Amber</w:t>
            </w:r>
          </w:p>
        </w:tc>
        <w:tc>
          <w:tcPr>
            <w:tcW w:type="dxa" w:w="67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Action is actively being worked with a credible plan to meet the target date.</w:t>
            </w:r>
          </w:p>
        </w:tc>
      </w:tr>
      <w:tr>
        <w:tc>
          <w:tcPr>
            <w:tcW w:type="dxa" w:w="22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Overdue</w:t>
            </w:r>
          </w:p>
        </w:tc>
        <w:tc>
          <w:tcPr>
            <w:tcW w:type="dxa" w:w="2200"/>
            <w:shd w:fill="FFFFFF" w:val="clear"/>
            <w:tcMar>
              <w:top w:type="dxa" w:w="80"/>
              <w:left w:type="dxa" w:w="120"/>
              <w:bottom w:type="dxa" w:w="80"/>
              <w:right w:type="dxa" w:w="120"/>
            </w:tcMar>
            <w:vAlign w:val="center"/>
          </w:tcPr>
          <w:p>
            <w:pPr>
              <w:spacing w:after="0"/>
              <w:jc w:val="left"/>
            </w:pPr>
            <w:r>
              <w:rPr>
                <w:rFonts w:ascii="Calibri" w:cs="Calibri" w:eastAsia="Calibri" w:hAnsi="Calibri"/>
                <w:b/>
                <w:bCs/>
                <w:color w:val="1A1A1A"/>
                <w:sz w:val="16"/>
                <w:szCs w:val="16"/>
              </w:rPr>
              <w:t xml:space="preserve">Red</w:t>
            </w:r>
          </w:p>
        </w:tc>
        <w:tc>
          <w:tcPr>
            <w:tcW w:type="dxa" w:w="67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Target date has passed without verified close-out; requires escalation to the Project Director / relevant Committee.</w:t>
            </w:r>
          </w:p>
        </w:tc>
      </w:tr>
      <w:tr>
        <w:tc>
          <w:tcPr>
            <w:tcW w:type="dxa" w:w="22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Closed</w:t>
            </w:r>
          </w:p>
        </w:tc>
        <w:tc>
          <w:tcPr>
            <w:tcW w:type="dxa" w:w="2200"/>
            <w:shd w:fill="E8F2F1" w:val="clear"/>
            <w:tcMar>
              <w:top w:type="dxa" w:w="80"/>
              <w:left w:type="dxa" w:w="120"/>
              <w:bottom w:type="dxa" w:w="80"/>
              <w:right w:type="dxa" w:w="120"/>
            </w:tcMar>
            <w:vAlign w:val="center"/>
          </w:tcPr>
          <w:p>
            <w:pPr>
              <w:spacing w:after="0"/>
              <w:jc w:val="left"/>
            </w:pPr>
            <w:r>
              <w:rPr>
                <w:rFonts w:ascii="Calibri" w:cs="Calibri" w:eastAsia="Calibri" w:hAnsi="Calibri"/>
                <w:b/>
                <w:bCs/>
                <w:color w:val="1A1A1A"/>
                <w:sz w:val="16"/>
                <w:szCs w:val="16"/>
              </w:rPr>
              <w:t xml:space="preserve">Green</w:t>
            </w:r>
          </w:p>
        </w:tc>
        <w:tc>
          <w:tcPr>
            <w:tcW w:type="dxa" w:w="67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color w:val="1A1A1A"/>
                <w:sz w:val="16"/>
                <w:szCs w:val="16"/>
              </w:rPr>
              <w:t xml:space="preserve">Action has been implemented and independently verified as effective; evidence retained on file.</w:t>
            </w:r>
          </w:p>
        </w:tc>
      </w:tr>
    </w:tbl>
    <w:p>
      <w:r>
        <w:br w:type="page"/>
      </w:r>
    </w:p>
    <w:p>
      <w:pPr>
        <w:sectPr>
          <w:headerReference w:type="default" r:id="rId9"/>
          <w:footerReference w:type="default" r:id="rId10"/>
          <w:pgSz w:w="12240" w:h="15840" w:orient="portrait"/>
          <w:pgMar w:top="1260" w:right="1080" w:bottom="126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5.0  Inspections Action Tracking Register</w:t>
      </w:r>
    </w:p>
    <w:p>
      <w:pPr>
        <w:spacing w:after="120"/>
      </w:pPr>
      <w:r>
        <w:rPr>
          <w:rFonts w:ascii="Calibri" w:cs="Calibri" w:eastAsia="Calibri" w:hAnsi="Calibri"/>
          <w:color w:val="1A1A1A"/>
          <w:sz w:val="20"/>
          <w:szCs w:val="20"/>
        </w:rPr>
        <w:t xml:space="preserve">Consolidates action items arising from site HSE inspections, PPE and housekeeping checks, confined-space entry pre-job inspections, waste management area inspections, and routine equipment inspections across Bonny, Gbaran, Soku, Forcados and Kidney Island, in line with HSE Plan Section 4.6.3 and QA/QC Plan inspection and test procedures. The register overleaf is presented in landscape format for full visibility of all tracked fields.</w:t>
      </w:r>
    </w:p>
    <w:p>
      <w:pPr>
        <w:pBdr>
          <w:left w:val="single" w:color="B8944F" w:sz="16" w:space="8"/>
        </w:pBdr>
        <w:shd w:fill="FFF4E0" w:val="clear"/>
        <w:spacing w:after="160" w:before="80"/>
        <w:ind w:left="120"/>
      </w:pPr>
      <w:r>
        <w:rPr>
          <w:rFonts w:ascii="Calibri" w:cs="Calibri" w:eastAsia="Calibri" w:hAnsi="Calibri"/>
          <w:b/>
          <w:bCs/>
          <w:color w:val="B8944F"/>
          <w:sz w:val="19"/>
          <w:szCs w:val="19"/>
        </w:rPr>
        <w:t xml:space="preserve">NOTE FOR SWDA REVIEW: </w:t>
      </w:r>
      <w:r>
        <w:rPr>
          <w:rFonts w:ascii="Calibri" w:cs="Calibri" w:eastAsia="Calibri" w:hAnsi="Calibri"/>
          <w:i/>
          <w:iCs/>
          <w:color w:val="1A1A1A"/>
          <w:sz w:val="19"/>
          <w:szCs w:val="19"/>
        </w:rPr>
        <w:t xml:space="preserve">The entries in Sections 5.0 through 9.0 are illustrative sample entries structured to demonstrate the Register format and RAG methodology. They should be replaced/populated with SWDA's live, verified inspection, audit, review, community and grievance data before this document is circulated as an operational record.</w:t>
      </w:r>
    </w:p>
    <w:tbl>
      <w:tblPr>
        <w:tblW w:type="dxa" w:w="1360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000"/>
        <w:gridCol w:w="4200"/>
        <w:gridCol w:w="1400"/>
        <w:gridCol w:w="1100"/>
        <w:gridCol w:w="1100"/>
        <w:gridCol w:w="1100"/>
        <w:gridCol w:w="1300"/>
      </w:tblGrid>
      <w:tr>
        <w:trPr>
          <w:tblHeader/>
        </w:trPr>
        <w:tc>
          <w:tcPr>
            <w:tcW w:type="dxa" w:w="9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Ref. No.</w:t>
            </w:r>
          </w:p>
        </w:tc>
        <w:tc>
          <w:tcPr>
            <w:tcW w:type="dxa" w:w="15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Source</w:t>
            </w:r>
          </w:p>
        </w:tc>
        <w:tc>
          <w:tcPr>
            <w:tcW w:type="dxa" w:w="10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Date Raised</w:t>
            </w:r>
          </w:p>
        </w:tc>
        <w:tc>
          <w:tcPr>
            <w:tcW w:type="dxa" w:w="42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Finding / Action Description</w:t>
            </w:r>
          </w:p>
        </w:tc>
        <w:tc>
          <w:tcPr>
            <w:tcW w:type="dxa" w:w="14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Action Owner</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Target Date</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Status</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Closure Date</w:t>
            </w:r>
          </w:p>
        </w:tc>
        <w:tc>
          <w:tcPr>
            <w:tcW w:type="dxa" w:w="13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Verification</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INS-001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Site HSE Inspection – Bonny Tank Farm</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12-Jul-2026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Secondary containment bund at sludge holding area found with minor cracking; risk of containment failure during rainfall.</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HSE Site Supervisor – Bonny</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26-Jul-2026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24-Jul-2026</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Re-inspected; bund resealed and pressure-tested.</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INS-002</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Weekly PPE &amp; Housekeeping Inspection – Gbaran</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18-Jul-2026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Fire extinguishers at Module 4 (skimming) past due for monthly inspection tag.</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HSE Officer – Gbaran</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25-Jul-2026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22-Jul-2026</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Extinguishers re-tagged; inspection schedule updated in HSE tracker.</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INS-003</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Confined Space Entry Pre-Job Inspection – Soku</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22-Jul-2026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Gas detector calibration certificate for CSE Team 2 not available on site during entry.</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Confined Space Supervisor – Soku</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29-Jul-2026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Calibration certificates being centralised in site QA file; interim hard-copy issued to team.</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INS-004</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Waste Management Inspection – Forcados Sludge Treatment Area</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28-Jul-2026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Waste segregation signage at temporary storage area illegible; risk of cross-contamination of hazardous/non-hazardous waste streams.</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Waste Management Coordinator</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11-Aug-2026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Pending – replacement signage on order.</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INS-005</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Monthly Equipment Inspection – Kidney Island</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30-Jul-2026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Vacuum tanker discharge hose showing early signs of wear; not yet outside service tolerance.</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Plant/Equipment Supervisor</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13-Aug-2026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Replacement hose requisitioned; interim use restricted pending inspection sign-off.</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6.0  Audits Action Tracking Register</w:t>
      </w:r>
    </w:p>
    <w:p>
      <w:pPr>
        <w:spacing w:after="120"/>
      </w:pPr>
      <w:r>
        <w:rPr>
          <w:rFonts w:ascii="Calibri" w:cs="Calibri" w:eastAsia="Calibri" w:hAnsi="Calibri"/>
          <w:color w:val="1A1A1A"/>
          <w:sz w:val="20"/>
          <w:szCs w:val="20"/>
        </w:rPr>
        <w:t xml:space="preserve">Consolidates action items and Non-Conformance Reports (NCRs) arising from internal QA/QC audits, client (RAEC) compliance audits, third-party/regulatory audits (e.g. EGASPIN environmental compliance), and subcontractor/vendor audits, administered through SWDA's Project Action Tracking System (PATS) per the QA/QC Plan Section 7.0 and Section 8.0.</w:t>
      </w:r>
    </w:p>
    <w:tbl>
      <w:tblPr>
        <w:tblW w:type="dxa" w:w="1360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000"/>
        <w:gridCol w:w="4200"/>
        <w:gridCol w:w="1400"/>
        <w:gridCol w:w="1100"/>
        <w:gridCol w:w="1100"/>
        <w:gridCol w:w="1100"/>
        <w:gridCol w:w="1300"/>
      </w:tblGrid>
      <w:tr>
        <w:trPr>
          <w:tblHeader/>
        </w:trPr>
        <w:tc>
          <w:tcPr>
            <w:tcW w:type="dxa" w:w="9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Ref. No.</w:t>
            </w:r>
          </w:p>
        </w:tc>
        <w:tc>
          <w:tcPr>
            <w:tcW w:type="dxa" w:w="15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Source</w:t>
            </w:r>
          </w:p>
        </w:tc>
        <w:tc>
          <w:tcPr>
            <w:tcW w:type="dxa" w:w="10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Date Raised</w:t>
            </w:r>
          </w:p>
        </w:tc>
        <w:tc>
          <w:tcPr>
            <w:tcW w:type="dxa" w:w="42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Finding / Action Description</w:t>
            </w:r>
          </w:p>
        </w:tc>
        <w:tc>
          <w:tcPr>
            <w:tcW w:type="dxa" w:w="14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Action Owner</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Target Date</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Status</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Closure Date</w:t>
            </w:r>
          </w:p>
        </w:tc>
        <w:tc>
          <w:tcPr>
            <w:tcW w:type="dxa" w:w="13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Verification</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AUD-001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Internal QA/QC Audit – PQMS Compliance (All Sites)</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05-Jul-2026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NCR-014: Inspection &amp; Test Plan (ITP) sign-off records incomplete for two tank-cleaning milestones at Bonny.</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QA/QC Manager</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19-Jul-2026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17-Jul-2026</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ITP records completed and verified by QA/QC Superintendent; root cause traced to handover gap, briefing issued to inspectors.</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AUD-002</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Client (RAEC) HSE Compliance Audit</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14-Jul-2026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Observation: Toolbox talk attendance registers not consistently countersigned by shift supervisors across all four active sites.</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Project HSE Manager</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28-Jul-2026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Revised attendance register template issued; roll-out to be confirmed at next site HSE meeting.</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AUD-003</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Subcontractor Audit – Vacuum Tanker Logistics Provider</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20-Jul-2026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Driver competency records for two subcontractor drivers not on the approved vendor file.</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Procurement / QA Liaison</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03-Aug-2026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Pending – subcontractor requested to submit competency records for verification.</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AUD-004</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Third-Party Environmental Compliance Audit (EGASPIN)</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26-Jul-2026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Recovered oil sample retention log at Soku missing chain-of-custody signature for one sampling event.</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Environmental Officer – Soku</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09-Aug-2026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Chain-of-custody procedure being reissued with mandatory dual sign-off.</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AUD-005</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Internal Quality Audit – Corrective Action Close-Out Review</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01-Aug-2026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Trend review identified recurring delay (avg. 4 days) in closing out minor NCRs against target dates.</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QA/QC Manager</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15-Aug-2026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Root-cause review scheduled; to be tabled at next Management Review.</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7.0  Management Reviews Action Tracking Register</w:t>
      </w:r>
    </w:p>
    <w:p>
      <w:pPr>
        <w:spacing w:after="120"/>
      </w:pPr>
      <w:r>
        <w:rPr>
          <w:rFonts w:ascii="Calibri" w:cs="Calibri" w:eastAsia="Calibri" w:hAnsi="Calibri"/>
          <w:color w:val="1A1A1A"/>
          <w:sz w:val="20"/>
          <w:szCs w:val="20"/>
        </w:rPr>
        <w:t xml:space="preserve">Consolidates actions agreed at Quarterly Project Management Reviews, Monthly HSE Performance Reviews, and Workers Welfare Committee (WWC) Quarterly Reviews, in accordance with the QA/QC Plan Section 7.5.1 (Management Review Process) and WWMP Section 4.1 (Audits, Inspections &amp; Reviews).</w:t>
      </w:r>
    </w:p>
    <w:tbl>
      <w:tblPr>
        <w:tblW w:type="dxa" w:w="1360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000"/>
        <w:gridCol w:w="4200"/>
        <w:gridCol w:w="1400"/>
        <w:gridCol w:w="1100"/>
        <w:gridCol w:w="1100"/>
        <w:gridCol w:w="1100"/>
        <w:gridCol w:w="1300"/>
      </w:tblGrid>
      <w:tr>
        <w:trPr>
          <w:tblHeader/>
        </w:trPr>
        <w:tc>
          <w:tcPr>
            <w:tcW w:type="dxa" w:w="9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Ref. No.</w:t>
            </w:r>
          </w:p>
        </w:tc>
        <w:tc>
          <w:tcPr>
            <w:tcW w:type="dxa" w:w="15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Source</w:t>
            </w:r>
          </w:p>
        </w:tc>
        <w:tc>
          <w:tcPr>
            <w:tcW w:type="dxa" w:w="10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Date Raised</w:t>
            </w:r>
          </w:p>
        </w:tc>
        <w:tc>
          <w:tcPr>
            <w:tcW w:type="dxa" w:w="42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Finding / Action Description</w:t>
            </w:r>
          </w:p>
        </w:tc>
        <w:tc>
          <w:tcPr>
            <w:tcW w:type="dxa" w:w="14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Action Owner</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Target Date</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Status</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Closure Date</w:t>
            </w:r>
          </w:p>
        </w:tc>
        <w:tc>
          <w:tcPr>
            <w:tcW w:type="dxa" w:w="13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Verification</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MR-001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Q2 2026 Project Management Review</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30-Jun-2026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Agreed action: Formalise a single, project-wide Action Tracking Register consolidating inspection, audit, community and complaint actions (this document).</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Project Director</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31-Jul-2026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05-Aug-2026</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Register developed, structured and issued for MD endorsement.</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MR-002</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Q2 2026 Project Management Review</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30-Jun-2026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Review of HSE KPI performance flagged a need to re-brief all site teams on LEL trigger thresholds ahead of the next confined-space entry cycle.</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Project HSE Manager</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14-Jul-2026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12-Jul-2026</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Re-briefing conducted at all four active sites; attendance registers filed.</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MR-003</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Monthly HSE Performance Review – July 2026</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29-Jul-2026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Lagging indicator review noted an increase in near-miss reports at the Gbaran skimming module; requires focused review of Module 4 procedures.</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HSE Manager / Site Supervisor – Gbaran</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12-Aug-2026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Module 4 procedure review in progress; findings to be reported at next review.</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MR-004</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Workers Welfare Committee (WWC) Quarterly Review</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31-Jul-2026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Review of grievance tracker showed average resolution time trending toward the upper limit of target; committee requested monthly (not quarterly) reporting going forward.</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HSE &amp; Community Liaison Officer (HESO/CLO)</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31-Aug-2026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Monthly WWC reporting cadence being implemented from August 2026.</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8.0  Community Engagement &amp; CSR Action Tracking Register</w:t>
      </w:r>
    </w:p>
    <w:p>
      <w:pPr>
        <w:spacing w:after="120"/>
      </w:pPr>
      <w:r>
        <w:rPr>
          <w:rFonts w:ascii="Calibri" w:cs="Calibri" w:eastAsia="Calibri" w:hAnsi="Calibri"/>
          <w:color w:val="1A1A1A"/>
          <w:sz w:val="20"/>
          <w:szCs w:val="20"/>
        </w:rPr>
        <w:t xml:space="preserve">Consolidates actions arising from Joint Engagement Forums (JEFs), pre-mobilisation consultations, CSR needs-assessment surveys, and independent monitor site visits across the five Host Community areas, in accordance with the Community Engagement Plan (CEP) Sections 4.5, 4.8 and 4.12–4.13.</w:t>
      </w:r>
    </w:p>
    <w:tbl>
      <w:tblPr>
        <w:tblW w:type="dxa" w:w="1360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000"/>
        <w:gridCol w:w="4200"/>
        <w:gridCol w:w="1400"/>
        <w:gridCol w:w="1100"/>
        <w:gridCol w:w="1100"/>
        <w:gridCol w:w="1100"/>
        <w:gridCol w:w="1300"/>
      </w:tblGrid>
      <w:tr>
        <w:trPr>
          <w:tblHeader/>
        </w:trPr>
        <w:tc>
          <w:tcPr>
            <w:tcW w:type="dxa" w:w="9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Ref. No.</w:t>
            </w:r>
          </w:p>
        </w:tc>
        <w:tc>
          <w:tcPr>
            <w:tcW w:type="dxa" w:w="15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Source</w:t>
            </w:r>
          </w:p>
        </w:tc>
        <w:tc>
          <w:tcPr>
            <w:tcW w:type="dxa" w:w="10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Date Raised</w:t>
            </w:r>
          </w:p>
        </w:tc>
        <w:tc>
          <w:tcPr>
            <w:tcW w:type="dxa" w:w="42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Finding / Action Description</w:t>
            </w:r>
          </w:p>
        </w:tc>
        <w:tc>
          <w:tcPr>
            <w:tcW w:type="dxa" w:w="14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Action Owner</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Target Date</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Status</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Closure Date</w:t>
            </w:r>
          </w:p>
        </w:tc>
        <w:tc>
          <w:tcPr>
            <w:tcW w:type="dxa" w:w="13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Verification</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CEC-001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Joint Engagement Forum (JEF) – Bonny Host Community</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08-Jul-2026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requested clarification on local recruitment quota progress for unskilled/semi-skilled roles.</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Liaison Officer (CLO) – Bonny</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22-Jul-2026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20-Jul-2026</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Recruitment progress data shared with Traditional Council; minutes signed by both parties.</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CEC-002</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Pre-Mobilisation Consultation – Gbaran Host Community</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10-Jul-2026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Fishermen Union raised concern regarding vessel movement schedules affecting fishing routes near the tank site.</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Liaison Officer (CLO) – Gbaran / Marine Coordinator</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24-Jul-2026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23-Jul-2026</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Revised vessel movement schedule shared and agreed with Union representatives.</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CSR-001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CSR Needs Assessment Survey – Soku Host Community</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15-Jul-2026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Development Committee (CDC) proposed borehole rehabilitation as a priority quick-impact CSR project.</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Engagement Committee (CEC)</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29-Aug-2026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Site survey scheduled; proposal being costed against Community Development Fund allocation.</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CEC-003</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Quarterly Joint Engagement Forum – Forcados</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24-Jul-2026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Youth Association requested update on apprenticeship programme intake for the current project phase.</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Liaison Officer (CLO) – Forcados</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07-Aug-2026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Pending – intake schedule being finalised with Training Coordinator.</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CEC-004</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Independent Monitor Site Visit – Kidney Island (Port Harcourt)</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29-Jul-2026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Monitor recommended clearer signposting of the community Grievance Redress Mechanism (3-Tier Escalation) at the site boundary.</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HSE &amp; Community Liaison Officer (HESO)</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12-Aug-2026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Signage design approved; installation in progress.</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9.0  Complaints &amp; Grievances Handling Register</w:t>
      </w:r>
    </w:p>
    <w:p>
      <w:pPr>
        <w:spacing w:after="120"/>
      </w:pPr>
      <w:r>
        <w:rPr>
          <w:rFonts w:ascii="Calibri" w:cs="Calibri" w:eastAsia="Calibri" w:hAnsi="Calibri"/>
          <w:color w:val="1A1A1A"/>
          <w:sz w:val="20"/>
          <w:szCs w:val="20"/>
        </w:rPr>
        <w:t xml:space="preserve">Consolidates community grievances (tracked under the CEP's 3-Tier Escalation Mechanism with a 14-calendar-day resolution target), worker grievances (tracked under the WWMP with a 7-calendar-day resolution target for dignity/respect matters), and customer complaints (tracked under the QA/QC Plan Section 8.5 Management Action System).</w:t>
      </w:r>
    </w:p>
    <w:tbl>
      <w:tblPr>
        <w:tblW w:type="dxa" w:w="1360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000"/>
        <w:gridCol w:w="4200"/>
        <w:gridCol w:w="1400"/>
        <w:gridCol w:w="1100"/>
        <w:gridCol w:w="1100"/>
        <w:gridCol w:w="1100"/>
        <w:gridCol w:w="1300"/>
      </w:tblGrid>
      <w:tr>
        <w:trPr>
          <w:tblHeader/>
        </w:trPr>
        <w:tc>
          <w:tcPr>
            <w:tcW w:type="dxa" w:w="9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Ref. No.</w:t>
            </w:r>
          </w:p>
        </w:tc>
        <w:tc>
          <w:tcPr>
            <w:tcW w:type="dxa" w:w="15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Source</w:t>
            </w:r>
          </w:p>
        </w:tc>
        <w:tc>
          <w:tcPr>
            <w:tcW w:type="dxa" w:w="10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Date Raised</w:t>
            </w:r>
          </w:p>
        </w:tc>
        <w:tc>
          <w:tcPr>
            <w:tcW w:type="dxa" w:w="42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Finding / Action Description</w:t>
            </w:r>
          </w:p>
        </w:tc>
        <w:tc>
          <w:tcPr>
            <w:tcW w:type="dxa" w:w="14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Action Owner</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Target Date</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Status</w:t>
            </w:r>
          </w:p>
        </w:tc>
        <w:tc>
          <w:tcPr>
            <w:tcW w:type="dxa" w:w="11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Closure Date</w:t>
            </w:r>
          </w:p>
        </w:tc>
        <w:tc>
          <w:tcPr>
            <w:tcW w:type="dxa" w:w="1300"/>
            <w:shd w:fill="1B2A4A" w:val="clear"/>
            <w:tcMar>
              <w:top w:type="dxa" w:w="60"/>
              <w:left w:type="dxa" w:w="80"/>
              <w:bottom w:type="dxa" w:w="60"/>
              <w:right w:type="dxa" w:w="80"/>
            </w:tcMar>
            <w:vAlign w:val="center"/>
          </w:tcPr>
          <w:p>
            <w:pPr>
              <w:spacing w:after="0"/>
              <w:jc w:val="center"/>
            </w:pPr>
            <w:r>
              <w:rPr>
                <w:rFonts w:ascii="Calibri" w:cs="Calibri" w:eastAsia="Calibri" w:hAnsi="Calibri"/>
                <w:b/>
                <w:bCs/>
                <w:color w:val="FFFFFF"/>
                <w:sz w:val="15"/>
                <w:szCs w:val="15"/>
              </w:rPr>
              <w:t xml:space="preserve">Verification</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GRV-001</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Grievance – Bonny (Tier 1)</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09-Jul-2026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Noise complaint from residents adjacent to the tank site during night-shift vacuum tanker operations.</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Liaison Officer (CLO) – Bonny</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23-Jul-2026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18-Jul-2026</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Night-shift operations rescheduled where feasible; complainant confirmed satisfaction with resolution.</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GRV-002</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Customer Complaint – RAEC Site Representative (Gbaran)</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16-Jul-2026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Delay in submission of weekly progress report affecting client's internal reporting cycle.</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Project Manager</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23-Jul-2026</w:t>
            </w:r>
          </w:p>
        </w:tc>
        <w:tc>
          <w:tcPr>
            <w:tcW w:type="dxa" w:w="1100"/>
            <w:shd w:fill="DDF0DD" w:val="clear"/>
            <w:tcMar>
              <w:top w:type="dxa" w:w="60"/>
              <w:left w:type="dxa" w:w="80"/>
              <w:bottom w:type="dxa" w:w="60"/>
              <w:right w:type="dxa" w:w="80"/>
            </w:tcMar>
            <w:vAlign w:val="center"/>
          </w:tcPr>
          <w:p>
            <w:pPr>
              <w:spacing w:after="0"/>
              <w:jc w:val="center"/>
            </w:pPr>
            <w:r>
              <w:rPr>
                <w:rFonts w:ascii="Calibri" w:cs="Calibri" w:eastAsia="Calibri" w:hAnsi="Calibri"/>
                <w:b/>
                <w:bCs/>
                <w:color w:val="1E6B1E"/>
                <w:sz w:val="15"/>
                <w:szCs w:val="15"/>
              </w:rPr>
              <w:t xml:space="preserve">Closed</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21-Jul-2026</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Reporting schedule corrected; escalated to Sales/Customer Service liaison for tracking per QMS Section 8.5.</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GRV-003</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Grievance – Soku (Tier 2)</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25-Jul-2026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Dispute over local SME subcontract award for catering services; alleged lack of transparency in vendor selection.</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Engagement Committee (CEC) / Procurement</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08-Aug-2026</w:t>
            </w:r>
          </w:p>
        </w:tc>
        <w:tc>
          <w:tcPr>
            <w:tcW w:type="dxa" w:w="1100"/>
            <w:shd w:fill="FFF4D6" w:val="clear"/>
            <w:tcMar>
              <w:top w:type="dxa" w:w="60"/>
              <w:left w:type="dxa" w:w="80"/>
              <w:bottom w:type="dxa" w:w="60"/>
              <w:right w:type="dxa" w:w="80"/>
            </w:tcMar>
            <w:vAlign w:val="center"/>
          </w:tcPr>
          <w:p>
            <w:pPr>
              <w:spacing w:after="0"/>
              <w:jc w:val="center"/>
            </w:pPr>
            <w:r>
              <w:rPr>
                <w:rFonts w:ascii="Calibri" w:cs="Calibri" w:eastAsia="Calibri" w:hAnsi="Calibri"/>
                <w:b/>
                <w:bCs/>
                <w:color w:val="8A6300"/>
                <w:sz w:val="15"/>
                <w:szCs w:val="15"/>
              </w:rPr>
              <w:t xml:space="preserve">In Progress</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Peace Committee engaged; vendor selection criteria being reviewed with CDC representatives.</w:t>
            </w:r>
          </w:p>
        </w:tc>
      </w:tr>
      <w:tr>
        <w:tc>
          <w:tcPr>
            <w:tcW w:type="dxa" w:w="900"/>
            <w:shd w:fill="E8F2F1"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GRV-004</w:t>
            </w:r>
          </w:p>
        </w:tc>
        <w:tc>
          <w:tcPr>
            <w:tcW w:type="dxa" w:w="15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Worker Grievance – Dignity &amp; Respect (WWMP BR-01)</w:t>
            </w:r>
          </w:p>
        </w:tc>
        <w:tc>
          <w:tcPr>
            <w:tcW w:type="dxa" w:w="10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27-Jul-2026</w:t>
            </w:r>
          </w:p>
        </w:tc>
        <w:tc>
          <w:tcPr>
            <w:tcW w:type="dxa" w:w="42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Grievance raised via worker feedback channel regarding conduct of a shift supervisor at Forcados.</w:t>
            </w:r>
          </w:p>
        </w:tc>
        <w:tc>
          <w:tcPr>
            <w:tcW w:type="dxa" w:w="14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Workers Welfare Committee (WWC)</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03-Aug-2026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E8F2F1"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E8F2F1"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Investigation opened; target resolution within 7-calendar-day KPI per WWMP.</w:t>
            </w:r>
          </w:p>
        </w:tc>
      </w:tr>
      <w:tr>
        <w:tc>
          <w:tcPr>
            <w:tcW w:type="dxa" w:w="900"/>
            <w:shd w:fill="FFFFFF" w:val="clear"/>
            <w:tcMar>
              <w:top w:type="dxa" w:w="60"/>
              <w:left w:type="dxa" w:w="80"/>
              <w:bottom w:type="dxa" w:w="60"/>
              <w:right w:type="dxa" w:w="80"/>
            </w:tcMar>
            <w:vAlign w:val="center"/>
          </w:tcPr>
          <w:p>
            <w:pPr>
              <w:spacing w:after="0"/>
              <w:jc w:val="center"/>
            </w:pPr>
            <w:r>
              <w:rPr>
                <w:rFonts w:ascii="Calibri" w:cs="Calibri" w:eastAsia="Calibri" w:hAnsi="Calibri"/>
                <w:b/>
                <w:bCs/>
                <w:color w:val="1A1A1A"/>
                <w:sz w:val="15"/>
                <w:szCs w:val="15"/>
              </w:rPr>
              <w:t xml:space="preserve">GRV-005</w:t>
            </w:r>
          </w:p>
        </w:tc>
        <w:tc>
          <w:tcPr>
            <w:tcW w:type="dxa" w:w="15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Grievance – Kidney Island (Tier 1)</w:t>
            </w:r>
          </w:p>
        </w:tc>
        <w:tc>
          <w:tcPr>
            <w:tcW w:type="dxa" w:w="10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01-Aug-2026</w:t>
            </w:r>
          </w:p>
        </w:tc>
        <w:tc>
          <w:tcPr>
            <w:tcW w:type="dxa" w:w="42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Request for compensation assessment following alleged minor access-road damage from project vehicle traffic.</w:t>
            </w:r>
          </w:p>
        </w:tc>
        <w:tc>
          <w:tcPr>
            <w:tcW w:type="dxa" w:w="14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Community Liaison Officer (CLO) – Kidney Island</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15-Aug-2026</w:t>
            </w:r>
          </w:p>
        </w:tc>
        <w:tc>
          <w:tcPr>
            <w:tcW w:type="dxa" w:w="1100"/>
            <w:shd w:fill="FBDCDC" w:val="clear"/>
            <w:tcMar>
              <w:top w:type="dxa" w:w="60"/>
              <w:left w:type="dxa" w:w="80"/>
              <w:bottom w:type="dxa" w:w="60"/>
              <w:right w:type="dxa" w:w="80"/>
            </w:tcMar>
            <w:vAlign w:val="center"/>
          </w:tcPr>
          <w:p>
            <w:pPr>
              <w:spacing w:after="0"/>
              <w:jc w:val="center"/>
            </w:pPr>
            <w:r>
              <w:rPr>
                <w:rFonts w:ascii="Calibri" w:cs="Calibri" w:eastAsia="Calibri" w:hAnsi="Calibri"/>
                <w:b/>
                <w:bCs/>
                <w:color w:val="B03A2E"/>
                <w:sz w:val="15"/>
                <w:szCs w:val="15"/>
              </w:rPr>
              <w:t xml:space="preserve">Open</w:t>
            </w:r>
          </w:p>
        </w:tc>
        <w:tc>
          <w:tcPr>
            <w:tcW w:type="dxa" w:w="1100"/>
            <w:shd w:fill="FFFFFF" w:val="clear"/>
            <w:tcMar>
              <w:top w:type="dxa" w:w="60"/>
              <w:left w:type="dxa" w:w="80"/>
              <w:bottom w:type="dxa" w:w="60"/>
              <w:right w:type="dxa" w:w="80"/>
            </w:tcMar>
            <w:vAlign w:val="center"/>
          </w:tcPr>
          <w:p>
            <w:pPr>
              <w:spacing w:after="0"/>
              <w:jc w:val="center"/>
            </w:pPr>
            <w:r>
              <w:rPr>
                <w:rFonts w:ascii="Calibri" w:cs="Calibri" w:eastAsia="Calibri" w:hAnsi="Calibri"/>
                <w:b w:val="false"/>
                <w:bCs w:val="false"/>
                <w:color w:val="1A1A1A"/>
                <w:sz w:val="15"/>
                <w:szCs w:val="15"/>
              </w:rPr>
              <w:t xml:space="preserve">—</w:t>
            </w:r>
          </w:p>
        </w:tc>
        <w:tc>
          <w:tcPr>
            <w:tcW w:type="dxa" w:w="1300"/>
            <w:shd w:fill="FFFFFF" w:val="clear"/>
            <w:tcMar>
              <w:top w:type="dxa" w:w="60"/>
              <w:left w:type="dxa" w:w="80"/>
              <w:bottom w:type="dxa" w:w="60"/>
              <w:right w:type="dxa" w:w="80"/>
            </w:tcMar>
            <w:vAlign w:val="center"/>
          </w:tcPr>
          <w:p>
            <w:pPr>
              <w:spacing w:after="0"/>
              <w:jc w:val="left"/>
            </w:pPr>
            <w:r>
              <w:rPr>
                <w:rFonts w:ascii="Calibri" w:cs="Calibri" w:eastAsia="Calibri" w:hAnsi="Calibri"/>
                <w:b w:val="false"/>
                <w:bCs w:val="false"/>
                <w:color w:val="1A1A1A"/>
                <w:sz w:val="15"/>
                <w:szCs w:val="15"/>
              </w:rPr>
              <w:t xml:space="preserve">Pending – joint site assessment with community representative being scheduled.</w:t>
            </w:r>
          </w:p>
        </w:tc>
      </w:tr>
    </w:tbl>
    <w:p>
      <w:pPr>
        <w:sectPr>
          <w:headerReference w:type="default" r:id="rId11"/>
          <w:footerReference w:type="default" r:id="rId12"/>
          <w:pgSz w:w="15840" w:h="12240" w:orient="landscape"/>
          <w:pgMar w:top="1080" w:right="900" w:bottom="1080" w:left="90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10.0  Summary Status Dashboard</w:t>
      </w:r>
    </w:p>
    <w:p>
      <w:pPr>
        <w:spacing w:after="120"/>
      </w:pPr>
      <w:r>
        <w:rPr>
          <w:rFonts w:ascii="Calibri" w:cs="Calibri" w:eastAsia="Calibri" w:hAnsi="Calibri"/>
          <w:color w:val="1A1A1A"/>
          <w:sz w:val="20"/>
          <w:szCs w:val="20"/>
        </w:rPr>
        <w:t xml:space="preserve">As of 05 August 2026, the Register tracks 24 action items across the five source categories, with an overall closure rate of 38%. The distribution by status is summarised below.</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300"/>
        <w:gridCol w:w="1560"/>
        <w:gridCol w:w="1560"/>
        <w:gridCol w:w="1560"/>
        <w:gridCol w:w="1560"/>
        <w:gridCol w:w="1560"/>
      </w:tblGrid>
      <w:tr>
        <w:tc>
          <w:tcPr>
            <w:tcW w:type="dxa" w:w="3300"/>
            <w:shd w:fill="1B2A4A" w:val="clear"/>
            <w:tcMar>
              <w:top w:type="dxa" w:w="80"/>
              <w:left w:type="dxa" w:w="100"/>
              <w:bottom w:type="dxa" w:w="80"/>
              <w:right w:type="dxa" w:w="100"/>
            </w:tcMar>
            <w:vAlign w:val="center"/>
          </w:tcPr>
          <w:p>
            <w:pPr>
              <w:spacing w:after="0"/>
              <w:jc w:val="left"/>
            </w:pPr>
            <w:r>
              <w:rPr>
                <w:rFonts w:ascii="Calibri" w:cs="Calibri" w:eastAsia="Calibri" w:hAnsi="Calibri"/>
                <w:b/>
                <w:bCs/>
                <w:color w:val="FFFFFF"/>
                <w:sz w:val="17"/>
                <w:szCs w:val="17"/>
              </w:rPr>
              <w:t xml:space="preserve">Source Category</w:t>
            </w:r>
          </w:p>
        </w:tc>
        <w:tc>
          <w:tcPr>
            <w:tcW w:type="dxa" w:w="1560"/>
            <w:shd w:fill="1B2A4A" w:val="clear"/>
            <w:tcMar>
              <w:top w:type="dxa" w:w="80"/>
              <w:left w:type="dxa" w:w="100"/>
              <w:bottom w:type="dxa" w:w="80"/>
              <w:right w:type="dxa" w:w="100"/>
            </w:tcMar>
            <w:vAlign w:val="center"/>
          </w:tcPr>
          <w:p>
            <w:pPr>
              <w:spacing w:after="0"/>
              <w:jc w:val="center"/>
            </w:pPr>
            <w:r>
              <w:rPr>
                <w:rFonts w:ascii="Calibri" w:cs="Calibri" w:eastAsia="Calibri" w:hAnsi="Calibri"/>
                <w:b/>
                <w:bCs/>
                <w:color w:val="FFFFFF"/>
                <w:sz w:val="17"/>
                <w:szCs w:val="17"/>
              </w:rPr>
              <w:t xml:space="preserve">Total</w:t>
            </w:r>
          </w:p>
        </w:tc>
        <w:tc>
          <w:tcPr>
            <w:tcW w:type="dxa" w:w="1560"/>
            <w:shd w:fill="1B2A4A" w:val="clear"/>
            <w:tcMar>
              <w:top w:type="dxa" w:w="80"/>
              <w:left w:type="dxa" w:w="100"/>
              <w:bottom w:type="dxa" w:w="80"/>
              <w:right w:type="dxa" w:w="100"/>
            </w:tcMar>
            <w:vAlign w:val="center"/>
          </w:tcPr>
          <w:p>
            <w:pPr>
              <w:spacing w:after="0"/>
              <w:jc w:val="center"/>
            </w:pPr>
            <w:r>
              <w:rPr>
                <w:rFonts w:ascii="Calibri" w:cs="Calibri" w:eastAsia="Calibri" w:hAnsi="Calibri"/>
                <w:b/>
                <w:bCs/>
                <w:color w:val="FFFFFF"/>
                <w:sz w:val="17"/>
                <w:szCs w:val="17"/>
              </w:rPr>
              <w:t xml:space="preserve">Closed</w:t>
            </w:r>
          </w:p>
        </w:tc>
        <w:tc>
          <w:tcPr>
            <w:tcW w:type="dxa" w:w="1560"/>
            <w:shd w:fill="1B2A4A" w:val="clear"/>
            <w:tcMar>
              <w:top w:type="dxa" w:w="80"/>
              <w:left w:type="dxa" w:w="100"/>
              <w:bottom w:type="dxa" w:w="80"/>
              <w:right w:type="dxa" w:w="100"/>
            </w:tcMar>
            <w:vAlign w:val="center"/>
          </w:tcPr>
          <w:p>
            <w:pPr>
              <w:spacing w:after="0"/>
              <w:jc w:val="center"/>
            </w:pPr>
            <w:r>
              <w:rPr>
                <w:rFonts w:ascii="Calibri" w:cs="Calibri" w:eastAsia="Calibri" w:hAnsi="Calibri"/>
                <w:b/>
                <w:bCs/>
                <w:color w:val="FFFFFF"/>
                <w:sz w:val="17"/>
                <w:szCs w:val="17"/>
              </w:rPr>
              <w:t xml:space="preserve">In Progress</w:t>
            </w:r>
          </w:p>
        </w:tc>
        <w:tc>
          <w:tcPr>
            <w:tcW w:type="dxa" w:w="1560"/>
            <w:shd w:fill="1B2A4A" w:val="clear"/>
            <w:tcMar>
              <w:top w:type="dxa" w:w="80"/>
              <w:left w:type="dxa" w:w="100"/>
              <w:bottom w:type="dxa" w:w="80"/>
              <w:right w:type="dxa" w:w="100"/>
            </w:tcMar>
            <w:vAlign w:val="center"/>
          </w:tcPr>
          <w:p>
            <w:pPr>
              <w:spacing w:after="0"/>
              <w:jc w:val="center"/>
            </w:pPr>
            <w:r>
              <w:rPr>
                <w:rFonts w:ascii="Calibri" w:cs="Calibri" w:eastAsia="Calibri" w:hAnsi="Calibri"/>
                <w:b/>
                <w:bCs/>
                <w:color w:val="FFFFFF"/>
                <w:sz w:val="17"/>
                <w:szCs w:val="17"/>
              </w:rPr>
              <w:t xml:space="preserve">Open</w:t>
            </w:r>
          </w:p>
        </w:tc>
        <w:tc>
          <w:tcPr>
            <w:tcW w:type="dxa" w:w="1560"/>
            <w:shd w:fill="1B2A4A" w:val="clear"/>
            <w:tcMar>
              <w:top w:type="dxa" w:w="80"/>
              <w:left w:type="dxa" w:w="100"/>
              <w:bottom w:type="dxa" w:w="80"/>
              <w:right w:type="dxa" w:w="100"/>
            </w:tcMar>
            <w:vAlign w:val="center"/>
          </w:tcPr>
          <w:p>
            <w:pPr>
              <w:spacing w:after="0"/>
              <w:jc w:val="center"/>
            </w:pPr>
            <w:r>
              <w:rPr>
                <w:rFonts w:ascii="Calibri" w:cs="Calibri" w:eastAsia="Calibri" w:hAnsi="Calibri"/>
                <w:b/>
                <w:bCs/>
                <w:color w:val="FFFFFF"/>
                <w:sz w:val="17"/>
                <w:szCs w:val="17"/>
              </w:rPr>
              <w:t xml:space="preserve">Overdue</w:t>
            </w:r>
          </w:p>
        </w:tc>
      </w:tr>
      <w:tr>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bCs/>
                <w:color w:val="1A1A1A"/>
                <w:sz w:val="16"/>
                <w:szCs w:val="16"/>
              </w:rPr>
              <w:t xml:space="preserve">Inspections</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5</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1</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r>
      <w:tr>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bCs/>
                <w:color w:val="1A1A1A"/>
                <w:sz w:val="16"/>
                <w:szCs w:val="16"/>
              </w:rPr>
              <w:t xml:space="preserve">Audits</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5</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1</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r>
      <w:tr>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bCs/>
                <w:color w:val="1A1A1A"/>
                <w:sz w:val="16"/>
                <w:szCs w:val="16"/>
              </w:rPr>
              <w:t xml:space="preserve">Management Reviews</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4</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r>
      <w:tr>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bCs/>
                <w:color w:val="1A1A1A"/>
                <w:sz w:val="16"/>
                <w:szCs w:val="16"/>
              </w:rPr>
              <w:t xml:space="preserve">Community Engagement &amp; CSR</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5</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1</w:t>
            </w:r>
          </w:p>
        </w:tc>
        <w:tc>
          <w:tcPr>
            <w:tcW w:type="dxa" w:w="156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r>
      <w:tr>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bCs/>
                <w:color w:val="1A1A1A"/>
                <w:sz w:val="16"/>
                <w:szCs w:val="16"/>
              </w:rPr>
              <w:t xml:space="preserve">Complaints &amp; Grievances</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5</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1</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2</w:t>
            </w:r>
          </w:p>
        </w:tc>
        <w:tc>
          <w:tcPr>
            <w:tcW w:type="dxa" w:w="156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color w:val="1A1A1A"/>
                <w:sz w:val="16"/>
                <w:szCs w:val="16"/>
              </w:rPr>
              <w:t xml:space="preserve">0</w:t>
            </w:r>
          </w:p>
        </w:tc>
      </w:tr>
      <w:tr>
        <w:tc>
          <w:tcPr>
            <w:tcW w:type="dxa" w:w="3300"/>
            <w:shd w:fill="D8E4E4" w:val="clear"/>
            <w:tcMar>
              <w:top w:type="dxa" w:w="80"/>
              <w:left w:type="dxa" w:w="100"/>
              <w:bottom w:type="dxa" w:w="80"/>
              <w:right w:type="dxa" w:w="100"/>
            </w:tcMar>
            <w:vAlign w:val="center"/>
          </w:tcPr>
          <w:p>
            <w:pPr>
              <w:spacing w:after="0"/>
              <w:jc w:val="left"/>
            </w:pPr>
            <w:r>
              <w:rPr>
                <w:rFonts w:ascii="Calibri" w:cs="Calibri" w:eastAsia="Calibri" w:hAnsi="Calibri"/>
                <w:b/>
                <w:bCs/>
                <w:color w:val="1B2A4A"/>
                <w:sz w:val="17"/>
                <w:szCs w:val="17"/>
              </w:rPr>
              <w:t xml:space="preserve">Project Total</w:t>
            </w:r>
          </w:p>
        </w:tc>
        <w:tc>
          <w:tcPr>
            <w:tcW w:type="dxa" w:w="1560"/>
            <w:shd w:fill="D8E4E4" w:val="clear"/>
            <w:tcMar>
              <w:top w:type="dxa" w:w="80"/>
              <w:left w:type="dxa" w:w="100"/>
              <w:bottom w:type="dxa" w:w="80"/>
              <w:right w:type="dxa" w:w="100"/>
            </w:tcMar>
            <w:vAlign w:val="center"/>
          </w:tcPr>
          <w:p>
            <w:pPr>
              <w:spacing w:after="0"/>
              <w:jc w:val="center"/>
            </w:pPr>
            <w:r>
              <w:rPr>
                <w:rFonts w:ascii="Calibri" w:cs="Calibri" w:eastAsia="Calibri" w:hAnsi="Calibri"/>
                <w:b/>
                <w:bCs/>
                <w:color w:val="1B2A4A"/>
                <w:sz w:val="17"/>
                <w:szCs w:val="17"/>
              </w:rPr>
              <w:t xml:space="preserve">24</w:t>
            </w:r>
          </w:p>
        </w:tc>
        <w:tc>
          <w:tcPr>
            <w:tcW w:type="dxa" w:w="1560"/>
            <w:shd w:fill="D8E4E4" w:val="clear"/>
            <w:tcMar>
              <w:top w:type="dxa" w:w="80"/>
              <w:left w:type="dxa" w:w="100"/>
              <w:bottom w:type="dxa" w:w="80"/>
              <w:right w:type="dxa" w:w="100"/>
            </w:tcMar>
            <w:vAlign w:val="center"/>
          </w:tcPr>
          <w:p>
            <w:pPr>
              <w:spacing w:after="0"/>
              <w:jc w:val="center"/>
            </w:pPr>
            <w:r>
              <w:rPr>
                <w:rFonts w:ascii="Calibri" w:cs="Calibri" w:eastAsia="Calibri" w:hAnsi="Calibri"/>
                <w:b/>
                <w:bCs/>
                <w:color w:val="1B2A4A"/>
                <w:sz w:val="17"/>
                <w:szCs w:val="17"/>
              </w:rPr>
              <w:t xml:space="preserve">9</w:t>
            </w:r>
          </w:p>
        </w:tc>
        <w:tc>
          <w:tcPr>
            <w:tcW w:type="dxa" w:w="1560"/>
            <w:shd w:fill="D8E4E4" w:val="clear"/>
            <w:tcMar>
              <w:top w:type="dxa" w:w="80"/>
              <w:left w:type="dxa" w:w="100"/>
              <w:bottom w:type="dxa" w:w="80"/>
              <w:right w:type="dxa" w:w="100"/>
            </w:tcMar>
            <w:vAlign w:val="center"/>
          </w:tcPr>
          <w:p>
            <w:pPr>
              <w:spacing w:after="0"/>
              <w:jc w:val="center"/>
            </w:pPr>
            <w:r>
              <w:rPr>
                <w:rFonts w:ascii="Calibri" w:cs="Calibri" w:eastAsia="Calibri" w:hAnsi="Calibri"/>
                <w:b/>
                <w:bCs/>
                <w:color w:val="1B2A4A"/>
                <w:sz w:val="17"/>
                <w:szCs w:val="17"/>
              </w:rPr>
              <w:t xml:space="preserve">9</w:t>
            </w:r>
          </w:p>
        </w:tc>
        <w:tc>
          <w:tcPr>
            <w:tcW w:type="dxa" w:w="1560"/>
            <w:shd w:fill="D8E4E4" w:val="clear"/>
            <w:tcMar>
              <w:top w:type="dxa" w:w="80"/>
              <w:left w:type="dxa" w:w="100"/>
              <w:bottom w:type="dxa" w:w="80"/>
              <w:right w:type="dxa" w:w="100"/>
            </w:tcMar>
            <w:vAlign w:val="center"/>
          </w:tcPr>
          <w:p>
            <w:pPr>
              <w:spacing w:after="0"/>
              <w:jc w:val="center"/>
            </w:pPr>
            <w:r>
              <w:rPr>
                <w:rFonts w:ascii="Calibri" w:cs="Calibri" w:eastAsia="Calibri" w:hAnsi="Calibri"/>
                <w:b/>
                <w:bCs/>
                <w:color w:val="1B2A4A"/>
                <w:sz w:val="17"/>
                <w:szCs w:val="17"/>
              </w:rPr>
              <w:t xml:space="preserve">6</w:t>
            </w:r>
          </w:p>
        </w:tc>
        <w:tc>
          <w:tcPr>
            <w:tcW w:type="dxa" w:w="1560"/>
            <w:shd w:fill="D8E4E4" w:val="clear"/>
            <w:tcMar>
              <w:top w:type="dxa" w:w="80"/>
              <w:left w:type="dxa" w:w="100"/>
              <w:bottom w:type="dxa" w:w="80"/>
              <w:right w:type="dxa" w:w="100"/>
            </w:tcMar>
            <w:vAlign w:val="center"/>
          </w:tcPr>
          <w:p>
            <w:pPr>
              <w:spacing w:after="0"/>
              <w:jc w:val="center"/>
            </w:pPr>
            <w:r>
              <w:rPr>
                <w:rFonts w:ascii="Calibri" w:cs="Calibri" w:eastAsia="Calibri" w:hAnsi="Calibri"/>
                <w:b/>
                <w:bCs/>
                <w:color w:val="1B2A4A"/>
                <w:sz w:val="17"/>
                <w:szCs w:val="17"/>
              </w:rPr>
              <w:t xml:space="preserve">0</w:t>
            </w:r>
          </w:p>
        </w:tc>
      </w:tr>
    </w:tbl>
    <w:p>
      <w:pPr>
        <w:spacing w:before="300"/>
      </w:pPr>
      <w:r>
        <w:rPr>
          <w:rFonts w:ascii="Calibri" w:cs="Calibri" w:eastAsia="Calibri" w:hAnsi="Calibri"/>
          <w:color w:val="1A1A1A"/>
          <w:sz w:val="20"/>
          <w:szCs w:val="20"/>
        </w:rPr>
        <w:t xml:space="preserve"/>
      </w:r>
    </w:p>
    <w:p>
      <w:pPr>
        <w:spacing w:after="120"/>
      </w:pPr>
      <w:r>
        <w:rPr>
          <w:rFonts w:ascii="Calibri" w:cs="Calibri" w:eastAsia="Calibri" w:hAnsi="Calibri"/>
          <w:color w:val="1A1A1A"/>
          <w:sz w:val="20"/>
          <w:szCs w:val="20"/>
        </w:rPr>
        <w:t xml:space="preserve">This dashboard is refreshed at each Monthly HSE Performance Review and reported in full at each Quarterly Project Management Review. Any item remaining in Overdue status for more than one reporting cycle is automatically escalated to the Project Director and, where unresolved, to the Group CEO/Managing Director.</w:t>
      </w:r>
    </w:p>
    <w:p>
      <w:pPr>
        <w:pStyle w:val="Heading1"/>
        <w:pBdr>
          <w:bottom w:val="single" w:color="0F6C6C" w:sz="8" w:space="4"/>
        </w:pBdr>
        <w:spacing w:after="160" w:before="360"/>
      </w:pPr>
      <w:r>
        <w:rPr>
          <w:rFonts w:ascii="Calibri" w:cs="Calibri" w:eastAsia="Calibri" w:hAnsi="Calibri"/>
          <w:b/>
          <w:bCs/>
          <w:color w:val="1B2A4A"/>
          <w:sz w:val="28"/>
          <w:szCs w:val="28"/>
        </w:rPr>
        <w:t xml:space="preserve">11.0  Close-Out &amp; Verification Process</w:t>
      </w:r>
    </w:p>
    <w:p>
      <w:pPr>
        <w:pStyle w:val="Heading2"/>
        <w:spacing w:after="120" w:before="280"/>
      </w:pPr>
      <w:r>
        <w:rPr>
          <w:rFonts w:ascii="Calibri" w:cs="Calibri" w:eastAsia="Calibri" w:hAnsi="Calibri"/>
          <w:b/>
          <w:bCs/>
          <w:color w:val="0F6C6C"/>
          <w:sz w:val="24"/>
          <w:szCs w:val="24"/>
        </w:rPr>
        <w:t xml:space="preserve">11.1  Raising an Action</w:t>
      </w:r>
    </w:p>
    <w:p>
      <w:pPr>
        <w:spacing w:after="120"/>
      </w:pPr>
      <w:r>
        <w:rPr>
          <w:rFonts w:ascii="Calibri" w:cs="Calibri" w:eastAsia="Calibri" w:hAnsi="Calibri"/>
          <w:color w:val="1A1A1A"/>
          <w:sz w:val="20"/>
          <w:szCs w:val="20"/>
        </w:rPr>
        <w:t xml:space="preserve">Any SWDA team member, RAEC representative, auditor, community stakeholder or worker may raise an action through the relevant channel (inspection checklist, audit NCR, management review minutes, Joint Engagement Forum, or grievance/complaint mechanism). The receiving function logs the item in this Register within two (2) working days of identification.</w:t>
      </w:r>
    </w:p>
    <w:p>
      <w:pPr>
        <w:pStyle w:val="Heading2"/>
        <w:spacing w:after="120" w:before="280"/>
      </w:pPr>
      <w:r>
        <w:rPr>
          <w:rFonts w:ascii="Calibri" w:cs="Calibri" w:eastAsia="Calibri" w:hAnsi="Calibri"/>
          <w:b/>
          <w:bCs/>
          <w:color w:val="0F6C6C"/>
          <w:sz w:val="24"/>
          <w:szCs w:val="24"/>
        </w:rPr>
        <w:t xml:space="preserve">11.2  Assigning Ownership &amp; Target Dates</w:t>
      </w:r>
    </w:p>
    <w:p>
      <w:pPr>
        <w:spacing w:after="120"/>
      </w:pPr>
      <w:r>
        <w:rPr>
          <w:rFonts w:ascii="Calibri" w:cs="Calibri" w:eastAsia="Calibri" w:hAnsi="Calibri"/>
          <w:color w:val="1A1A1A"/>
          <w:sz w:val="20"/>
          <w:szCs w:val="20"/>
        </w:rPr>
        <w:t xml:space="preserve">Each action is assigned a single accountable owner and a target close-out date proportionate to the risk and complexity of the item, agreed between the owner and the relevant functional manager (QA/QC Manager, Project HSE Manager, or Community Liaison Officer, as applicable).</w:t>
      </w:r>
    </w:p>
    <w:p>
      <w:pPr>
        <w:pStyle w:val="Heading2"/>
        <w:spacing w:after="120" w:before="280"/>
      </w:pPr>
      <w:r>
        <w:rPr>
          <w:rFonts w:ascii="Calibri" w:cs="Calibri" w:eastAsia="Calibri" w:hAnsi="Calibri"/>
          <w:b/>
          <w:bCs/>
          <w:color w:val="0F6C6C"/>
          <w:sz w:val="24"/>
          <w:szCs w:val="24"/>
        </w:rPr>
        <w:t xml:space="preserve">11.3  Progress Monitoring</w:t>
      </w:r>
    </w:p>
    <w:p>
      <w:pPr>
        <w:spacing w:after="120"/>
      </w:pPr>
      <w:r>
        <w:rPr>
          <w:rFonts w:ascii="Calibri" w:cs="Calibri" w:eastAsia="Calibri" w:hAnsi="Calibri"/>
          <w:color w:val="1A1A1A"/>
          <w:sz w:val="20"/>
          <w:szCs w:val="20"/>
        </w:rPr>
        <w:t xml:space="preserve">Action owners provide progress updates at the relevant recurring forum (weekly site HSE meeting, monthly QA/QC review, or Community Engagement Committee meeting). Items approaching or past their target date are flagged Amber/Red per the RAG methodology in Section 4.3.</w:t>
      </w:r>
    </w:p>
    <w:p>
      <w:pPr>
        <w:pStyle w:val="Heading2"/>
        <w:spacing w:after="120" w:before="280"/>
      </w:pPr>
      <w:r>
        <w:rPr>
          <w:rFonts w:ascii="Calibri" w:cs="Calibri" w:eastAsia="Calibri" w:hAnsi="Calibri"/>
          <w:b/>
          <w:bCs/>
          <w:color w:val="0F6C6C"/>
          <w:sz w:val="24"/>
          <w:szCs w:val="24"/>
        </w:rPr>
        <w:t xml:space="preserve">11.4  Verification &amp; Close-Out</w:t>
      </w:r>
    </w:p>
    <w:p>
      <w:pPr>
        <w:spacing w:after="120"/>
      </w:pPr>
      <w:r>
        <w:rPr>
          <w:rFonts w:ascii="Calibri" w:cs="Calibri" w:eastAsia="Calibri" w:hAnsi="Calibri"/>
          <w:color w:val="1A1A1A"/>
          <w:sz w:val="20"/>
          <w:szCs w:val="20"/>
        </w:rPr>
        <w:t xml:space="preserve">An action is only marked Closed once independently verified by a party other than the action owner – typically the QA/QC Manager (audits/inspections), the Project HSE Manager (HSE items), the Community Engagement Committee (community/CSR items), or the Workers Welfare Committee (worker grievances). Verification evidence is retained in the corresponding project file and referenced in the Verification column of the Register.</w:t>
      </w:r>
    </w:p>
    <w:p>
      <w:pPr>
        <w:pStyle w:val="Heading2"/>
        <w:spacing w:after="120" w:before="280"/>
      </w:pPr>
      <w:r>
        <w:rPr>
          <w:rFonts w:ascii="Calibri" w:cs="Calibri" w:eastAsia="Calibri" w:hAnsi="Calibri"/>
          <w:b/>
          <w:bCs/>
          <w:color w:val="0F6C6C"/>
          <w:sz w:val="24"/>
          <w:szCs w:val="24"/>
        </w:rPr>
        <w:t xml:space="preserve">11.5  Escalation</w:t>
      </w:r>
    </w:p>
    <w:p>
      <w:pPr>
        <w:spacing w:after="120"/>
      </w:pPr>
      <w:r>
        <w:rPr>
          <w:rFonts w:ascii="Calibri" w:cs="Calibri" w:eastAsia="Calibri" w:hAnsi="Calibri"/>
          <w:color w:val="1A1A1A"/>
          <w:sz w:val="20"/>
          <w:szCs w:val="20"/>
        </w:rPr>
        <w:t xml:space="preserve">Overdue items are escalated in the following sequence: Action Owner → Functional Manager → Project Director → Group CEO/Managing Director. High-severity community grievances follow the CEP's 3-Tier Escalation Mechanism in parallel with this Register.</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12.0  Endorsement</w:t>
      </w:r>
    </w:p>
    <w:p>
      <w:pPr>
        <w:spacing w:after="120"/>
      </w:pPr>
      <w:r>
        <w:rPr>
          <w:rFonts w:ascii="Calibri" w:cs="Calibri" w:eastAsia="Calibri" w:hAnsi="Calibri"/>
          <w:color w:val="1A1A1A"/>
          <w:sz w:val="20"/>
          <w:szCs w:val="20"/>
        </w:rPr>
        <w:t xml:space="preserve">This SWDA Project Action Tracking Register has been reviewed for completeness and accuracy and is submitted for endorsement by the Group Chief Executive Officer/Managing Director as the consolidated record of inspection, audit, management review, community engagement/CSR, and complaints/grievance actions for the Renaissance 18-Tank ATC/NME Project.</w:t>
      </w:r>
    </w:p>
    <w:p>
      <w:pPr>
        <w:spacing w:after="120"/>
      </w:pPr>
      <w:r>
        <w:rPr>
          <w:rFonts w:ascii="Calibri" w:cs="Calibri" w:eastAsia="Calibri" w:hAnsi="Calibri"/>
          <w:color w:val="1A1A1A"/>
          <w:sz w:val="20"/>
          <w:szCs w:val="20"/>
        </w:rPr>
        <w:t xml:space="preserve">Endorsement of this Register confirms Executive Management's commitment to the timely close-out of all tracked actions and to the continual improvement of SWDA's HSE and Quality performance on this Project.</w:t>
      </w:r>
    </w:p>
    <w:p>
      <w:pPr>
        <w:spacing w:after="100" w:before="600"/>
      </w:pPr>
      <w:r>
        <w:rPr>
          <w:rFonts w:ascii="Calibri" w:cs="Calibri" w:eastAsia="Calibri" w:hAnsi="Calibri"/>
          <w:b/>
          <w:bCs/>
          <w:color w:val="1B2A4A"/>
          <w:sz w:val="20"/>
          <w:szCs w:val="20"/>
        </w:rPr>
        <w:t xml:space="preserve">Endorsed by:</w:t>
      </w:r>
    </w:p>
    <w:p>
      <w:pPr>
        <w:spacing w:after="60" w:before="500"/>
      </w:pPr>
      <w:r>
        <w:rPr>
          <w:rFonts w:ascii="Calibri" w:cs="Calibri" w:eastAsia="Calibri" w:hAnsi="Calibri"/>
          <w:sz w:val="20"/>
          <w:szCs w:val="20"/>
        </w:rPr>
        <w:t xml:space="preserve">____________________________________________</w:t>
      </w:r>
    </w:p>
    <w:p>
      <w:pPr>
        <w:spacing w:after="40"/>
      </w:pPr>
      <w:r>
        <w:rPr>
          <w:rFonts w:ascii="Calibri" w:cs="Calibri" w:eastAsia="Calibri" w:hAnsi="Calibri"/>
          <w:b/>
          <w:bCs/>
          <w:sz w:val="20"/>
          <w:szCs w:val="20"/>
        </w:rPr>
        <w:t xml:space="preserve">Gliffeth Wonuigwe</w:t>
      </w:r>
    </w:p>
    <w:p>
      <w:pPr>
        <w:spacing w:after="40"/>
      </w:pPr>
      <w:r>
        <w:rPr>
          <w:rFonts w:ascii="Calibri" w:cs="Calibri" w:eastAsia="Calibri" w:hAnsi="Calibri"/>
          <w:i/>
          <w:iCs/>
          <w:sz w:val="19"/>
          <w:szCs w:val="19"/>
        </w:rPr>
        <w:t xml:space="preserve">Group Chief Executive Officer / Managing Director</w:t>
      </w:r>
    </w:p>
    <w:p>
      <w:pPr>
        <w:spacing w:after="40"/>
      </w:pPr>
      <w:r>
        <w:rPr>
          <w:rFonts w:ascii="Calibri" w:cs="Calibri" w:eastAsia="Calibri" w:hAnsi="Calibri"/>
          <w:i/>
          <w:iCs/>
          <w:sz w:val="19"/>
          <w:szCs w:val="19"/>
        </w:rPr>
        <w:t xml:space="preserve">South West Design Africa Limited (SWDA)</w:t>
      </w:r>
    </w:p>
    <w:p>
      <w:pPr>
        <w:spacing w:after="40" w:before="300"/>
      </w:pPr>
      <w:r>
        <w:rPr>
          <w:rFonts w:ascii="Calibri" w:cs="Calibri" w:eastAsia="Calibri" w:hAnsi="Calibri"/>
          <w:sz w:val="20"/>
          <w:szCs w:val="20"/>
        </w:rPr>
        <w:t xml:space="preserve">Date: ____________________________</w:t>
      </w:r>
    </w:p>
    <w:sectPr>
      <w:headerReference w:type="default" r:id="rId13"/>
      <w:footerReference w:type="default" r:id="rId14"/>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 RAEC Project Action Tracking Register</w:t>
    </w:r>
    <w:r>
      <w:rPr>
        <w:rFonts w:ascii="Calibri" w:cs="Calibri" w:eastAsia="Calibri" w:hAnsi="Calibri"/>
        <w:color w:val="0F6C6C"/>
        <w:sz w:val="15"/>
        <w:szCs w:val="15"/>
      </w:rPr>
      <w:t xml:space="preserve">	RENAISSANCE-CW-68582 / SWDA-2026-RAEC-001-ATR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 RAEC Project Action Tracking Register</w:t>
    </w:r>
    <w:r>
      <w:rPr>
        <w:rFonts w:ascii="Calibri" w:cs="Calibri" w:eastAsia="Calibri" w:hAnsi="Calibri"/>
        <w:color w:val="0F6C6C"/>
        <w:sz w:val="15"/>
        <w:szCs w:val="15"/>
      </w:rPr>
      <w:t xml:space="preserve">	RENAISSANCE-CW-68582 / SWDA-2026-RAEC-001-ATR</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 RAEC Project Action Tracking Register</w:t>
    </w:r>
    <w:r>
      <w:rPr>
        <w:rFonts w:ascii="Calibri" w:cs="Calibri" w:eastAsia="Calibri" w:hAnsi="Calibri"/>
        <w:color w:val="0F6C6C"/>
        <w:sz w:val="15"/>
        <w:szCs w:val="15"/>
      </w:rPr>
      <w:t xml:space="preserve">	RENAISSANCE-CW-68582 / SWDA-2026-RAEC-001-ATR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2026-08-05T15:11:17.943Z</dcterms:created>
  <dcterms:modified xsi:type="dcterms:W3CDTF">2026-08-05T15:11:17.945Z</dcterms:modified>
</cp:coreProperties>
</file>

<file path=docProps/custom.xml><?xml version="1.0" encoding="utf-8"?>
<Properties xmlns="http://schemas.openxmlformats.org/officeDocument/2006/custom-properties" xmlns:vt="http://schemas.openxmlformats.org/officeDocument/2006/docPropsVTypes"/>
</file>