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pPr>
    </w:p>
    <w:p>
      <w:pPr>
        <w:jc w:val="center"/>
      </w:pPr>
      <w:r>
        <w:rPr>
          <w:b/>
          <w:bCs/>
          <w:color w:val="1F4E78"/>
          <w:sz w:val="32"/>
          <w:szCs w:val="32"/>
        </w:rPr>
        <w:t xml:space="preserve">SOUTH WEST DESIGN AFRICA LIMITED (SWDA)</w:t>
      </w:r>
    </w:p>
    <w:p>
      <w:pPr>
        <w:spacing w:before="300"/>
        <w:jc w:val="center"/>
      </w:pPr>
      <w:r>
        <w:rPr>
          <w:b/>
          <w:bCs/>
          <w:color w:val="1F4E78"/>
          <w:sz w:val="40"/>
          <w:szCs w:val="40"/>
        </w:rPr>
        <w:t xml:space="preserve">CHEMICAL RISK MANAGEMENT PROCESS</w:t>
      </w:r>
    </w:p>
    <w:p>
      <w:pPr>
        <w:spacing w:before="200"/>
        <w:jc w:val="center"/>
      </w:pPr>
      <w:r>
        <w:rPr>
          <w:i/>
          <w:iCs/>
          <w:sz w:val="20"/>
          <w:szCs w:val="20"/>
        </w:rPr>
        <w:t xml:space="preserve">Hazard Identification &amp; Risk Assessment (HI/RA) for Chemicals | SDS Control | Regulatory Permits &amp; Licenses | SHOC Card Requirement</w:t>
      </w:r>
    </w:p>
    <w:p>
      <w:pPr>
        <w:spacing w:before="600"/>
        <w:jc w:val="center"/>
      </w:pPr>
      <w:r>
        <w:rPr>
          <w:sz w:val="22"/>
          <w:szCs w:val="22"/>
        </w:rPr>
        <w:t xml:space="preserve">SWDA – RAEC NME Tank Cleaning Project</w:t>
      </w:r>
    </w:p>
    <w:p>
      <w:pPr>
        <w:jc w:val="center"/>
      </w:pPr>
      <w:r>
        <w:rPr>
          <w:sz w:val="22"/>
          <w:szCs w:val="22"/>
        </w:rPr>
        <w:t xml:space="preserve">Contract CW-68582 / CW-515913</w:t>
      </w:r>
    </w:p>
    <w:p>
      <w:pPr>
        <w:spacing w:before="800"/>
        <w:jc w:val="center"/>
      </w:pPr>
      <w:r>
        <w:rPr>
          <w:b/>
          <w:bCs/>
          <w:sz w:val="20"/>
          <w:szCs w:val="20"/>
        </w:rPr>
        <w:t xml:space="preserve">August 2026</w:t>
      </w:r>
    </w:p>
    <w:p>
      <w:pPr>
        <w:spacing w:before="1200"/>
        <w:jc w:val="center"/>
      </w:pPr>
      <w:r>
        <w:rPr>
          <w:i/>
          <w:iCs/>
          <w:color w:val="555555"/>
          <w:sz w:val="18"/>
          <w:szCs w:val="18"/>
        </w:rPr>
        <w:t xml:space="preserve">This document consolidates SWDA's chemical risk management process, SDS control status, applicable regulatory permits and licenses, and the SHOC Card requirement, as documented in the SWDA–RAEC HSE Plan, PE&amp;RM Plan, and Waste Management Plan for this Project.</w:t>
      </w:r>
    </w:p>
    <w:p>
      <w:r>
        <w:br w:type="page"/>
      </w:r>
    </w:p>
    <w:p>
      <w:pPr>
        <w:sectPr>
          <w:headerReference w:type="default" r:id="rId7"/>
          <w:footerReference w:type="default" r:id="rId8"/>
          <w:pgSz w:w="12240" w:h="15840" w:orient="portrait"/>
          <w:pgMar w:top="1440" w:right="1440" w:bottom="1440" w:left="1440" w:header="708" w:footer="708" w:gutter="0"/>
          <w:pgNumType/>
          <w:docGrid w:linePitch="360"/>
        </w:sectPr>
      </w:pPr>
    </w:p>
    <w:p>
      <w:pPr>
        <w:pStyle w:val="Heading1"/>
      </w:pPr>
      <w:r>
        <w:rPr>
          <w:b/>
          <w:bCs/>
          <w:color w:val="1F4E78"/>
        </w:rPr>
        <w:t xml:space="preserve">1.0  Purpose &amp; Scope</w:t>
      </w:r>
    </w:p>
    <w:p>
      <w:pPr>
        <w:spacing w:after="200"/>
      </w:pPr>
      <w:r>
        <w:t xml:space="preserve">This document sets out how SWDA identifies, assesses, and controls chemical-related risk on the SWDA–RAEC NME Tank Cleaning Project; the role of Safety Data Sheets (SDS) as a control measure; the regulatory permits and licenses maintained for the Project; and the SHOC Card requirement applied to hazardous chemical drums.</w:t>
      </w:r>
    </w:p>
    <w:p>
      <w:pPr>
        <w:pStyle w:val="Heading1"/>
        <w:spacing w:before="300"/>
      </w:pPr>
      <w:r>
        <w:rPr>
          <w:b/>
          <w:bCs/>
          <w:color w:val="1F4E78"/>
        </w:rPr>
        <w:t xml:space="preserve">2.0  Chemical Risk Management Process (Hazard Identification / Risk Assessment)</w:t>
      </w:r>
    </w:p>
    <w:p>
      <w:pPr>
        <w:pStyle w:val="Heading2"/>
      </w:pPr>
      <w:r>
        <w:rPr>
          <w:b/>
          <w:bCs/>
          <w:color w:val="2E75B6"/>
        </w:rPr>
        <w:t xml:space="preserve">2.1  HI/RA Plan Purpose</w:t>
      </w:r>
    </w:p>
    <w:p>
      <w:r>
        <w:t xml:space="preserve">SWDA applies its Hazard Identification (HI) / Risk Assessment (RA) Plan — built around the Job Hazard Analysis &amp; Risk Assessment Matrix — to identify Project hazards, including those posed by chemicals, and to design risk management procedures for safe and efficient operations. The HI/RA Plan is used, among other purposes, to ensure the potential hazards of new processes and materials are identified before they are introduced into the workplace, and to identify jobs/tasks which require a proper Risk Assessment.</w:t>
      </w:r>
    </w:p>
    <w:p>
      <w:pPr>
        <w:spacing w:after="200" w:before="100"/>
      </w:pPr>
      <w:r>
        <w:rPr>
          <w:i/>
          <w:iCs/>
          <w:color w:val="555555"/>
          <w:sz w:val="16"/>
          <w:szCs w:val="16"/>
        </w:rPr>
        <w:t xml:space="preserve">Source: SWDA–RAEC PE&amp;RM Plan (19 July 26), Sec. 5.1 – HI/RA Plan Purpose.</w:t>
      </w:r>
    </w:p>
    <w:p>
      <w:pPr>
        <w:pStyle w:val="Heading2"/>
      </w:pPr>
      <w:r>
        <w:rPr>
          <w:b/>
          <w:bCs/>
          <w:color w:val="2E75B6"/>
        </w:rPr>
        <w:t xml:space="preserve">2.2  Risk Assessment Methodology</w:t>
      </w:r>
    </w:p>
    <w:p>
      <w:r>
        <w:t xml:space="preserve">Each identified hazard, including chemical hazards, is assessed using the following method: (1) select the most realistic consequence; (2) select the likelihood of occurrence with current controls in place; (3) determine the risk category from the risk matrix; (4) achieve a Category I or II before proceeding with the task; (5) do not proceed with the task if the risk Category is III or IV.</w:t>
      </w:r>
    </w:p>
    <w:p>
      <w:pPr>
        <w:spacing w:after="200" w:before="100"/>
      </w:pPr>
      <w:r>
        <w:rPr>
          <w:i/>
          <w:iCs/>
          <w:color w:val="555555"/>
          <w:sz w:val="16"/>
          <w:szCs w:val="16"/>
        </w:rPr>
        <w:t xml:space="preserve">Source: SWDA–RAEC HSE Plan (17 July 26) / PE&amp;RM Plan (19 July 26), Attachment 1 – Risk Assessment Method Analysis.</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1400"/>
        <w:gridCol w:w="1400"/>
        <w:gridCol w:w="2600"/>
        <w:gridCol w:w="3940"/>
      </w:tblGrid>
      <w:tr>
        <w:tc>
          <w:tcPr>
            <w:tcW w:type="dxa" w:w="1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Category</w:t>
            </w:r>
          </w:p>
        </w:tc>
        <w:tc>
          <w:tcPr>
            <w:tcW w:type="dxa" w:w="1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Range</w:t>
            </w:r>
          </w:p>
        </w:tc>
        <w:tc>
          <w:tcPr>
            <w:tcW w:type="dxa" w:w="26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Description</w:t>
            </w:r>
          </w:p>
        </w:tc>
        <w:tc>
          <w:tcPr>
            <w:tcW w:type="dxa" w:w="39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Required Action</w:t>
            </w:r>
          </w:p>
        </w:tc>
      </w:tr>
      <w:tr>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IV</w:t>
            </w:r>
          </w:p>
        </w:tc>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17–25</w:t>
            </w:r>
          </w:p>
        </w:tc>
        <w:tc>
          <w:tcPr>
            <w:tcW w:type="dxa" w:w="2600"/>
            <w:tcMar>
              <w:top w:type="dxa" w:w="60"/>
              <w:left w:type="dxa" w:w="80"/>
              <w:bottom w:type="dxa" w:w="60"/>
              <w:right w:type="dxa" w:w="80"/>
            </w:tcMar>
            <w:vAlign w:val="center"/>
          </w:tcPr>
          <w:p>
            <w:pPr>
              <w:jc w:val="left"/>
            </w:pPr>
            <w:r>
              <w:rPr>
                <w:b w:val="false"/>
                <w:bCs w:val="false"/>
                <w:i w:val="false"/>
                <w:iCs w:val="false"/>
                <w:sz w:val="18"/>
                <w:szCs w:val="18"/>
              </w:rPr>
              <w:t xml:space="preserve">High</w:t>
            </w:r>
          </w:p>
        </w:tc>
        <w:tc>
          <w:tcPr>
            <w:tcW w:type="dxa" w:w="3940"/>
            <w:tcMar>
              <w:top w:type="dxa" w:w="60"/>
              <w:left w:type="dxa" w:w="80"/>
              <w:bottom w:type="dxa" w:w="60"/>
              <w:right w:type="dxa" w:w="80"/>
            </w:tcMar>
            <w:vAlign w:val="center"/>
          </w:tcPr>
          <w:p>
            <w:pPr>
              <w:jc w:val="left"/>
            </w:pPr>
            <w:r>
              <w:rPr>
                <w:b w:val="false"/>
                <w:bCs w:val="false"/>
                <w:i w:val="false"/>
                <w:iCs w:val="false"/>
                <w:sz w:val="18"/>
                <w:szCs w:val="18"/>
              </w:rPr>
              <w:t xml:space="preserve">Mitigate with highest priority</w:t>
            </w:r>
          </w:p>
        </w:tc>
      </w:tr>
      <w:tr>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III</w:t>
            </w:r>
          </w:p>
        </w:tc>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12–16</w:t>
            </w:r>
          </w:p>
        </w:tc>
        <w:tc>
          <w:tcPr>
            <w:tcW w:type="dxa" w:w="2600"/>
            <w:tcMar>
              <w:top w:type="dxa" w:w="60"/>
              <w:left w:type="dxa" w:w="80"/>
              <w:bottom w:type="dxa" w:w="60"/>
              <w:right w:type="dxa" w:w="80"/>
            </w:tcMar>
            <w:vAlign w:val="center"/>
          </w:tcPr>
          <w:p>
            <w:pPr>
              <w:jc w:val="left"/>
            </w:pPr>
            <w:r>
              <w:rPr>
                <w:b w:val="false"/>
                <w:bCs w:val="false"/>
                <w:i w:val="false"/>
                <w:iCs w:val="false"/>
                <w:sz w:val="18"/>
                <w:szCs w:val="18"/>
              </w:rPr>
              <w:t xml:space="preserve">Significant</w:t>
            </w:r>
          </w:p>
        </w:tc>
        <w:tc>
          <w:tcPr>
            <w:tcW w:type="dxa" w:w="3940"/>
            <w:tcMar>
              <w:top w:type="dxa" w:w="60"/>
              <w:left w:type="dxa" w:w="80"/>
              <w:bottom w:type="dxa" w:w="60"/>
              <w:right w:type="dxa" w:w="80"/>
            </w:tcMar>
            <w:vAlign w:val="center"/>
          </w:tcPr>
          <w:p>
            <w:pPr>
              <w:jc w:val="left"/>
            </w:pPr>
            <w:r>
              <w:rPr>
                <w:b w:val="false"/>
                <w:bCs w:val="false"/>
                <w:i w:val="false"/>
                <w:iCs w:val="false"/>
                <w:sz w:val="18"/>
                <w:szCs w:val="18"/>
              </w:rPr>
              <w:t xml:space="preserve">Mitigate with Priority</w:t>
            </w:r>
          </w:p>
        </w:tc>
      </w:tr>
      <w:tr>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II</w:t>
            </w:r>
          </w:p>
        </w:tc>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5–10</w:t>
            </w:r>
          </w:p>
        </w:tc>
        <w:tc>
          <w:tcPr>
            <w:tcW w:type="dxa" w:w="2600"/>
            <w:tcMar>
              <w:top w:type="dxa" w:w="60"/>
              <w:left w:type="dxa" w:w="80"/>
              <w:bottom w:type="dxa" w:w="60"/>
              <w:right w:type="dxa" w:w="80"/>
            </w:tcMar>
            <w:vAlign w:val="center"/>
          </w:tcPr>
          <w:p>
            <w:pPr>
              <w:jc w:val="left"/>
            </w:pPr>
            <w:r>
              <w:rPr>
                <w:b w:val="false"/>
                <w:bCs w:val="false"/>
                <w:i w:val="false"/>
                <w:iCs w:val="false"/>
                <w:sz w:val="18"/>
                <w:szCs w:val="18"/>
              </w:rPr>
              <w:t xml:space="preserve">Medium</w:t>
            </w:r>
          </w:p>
        </w:tc>
        <w:tc>
          <w:tcPr>
            <w:tcW w:type="dxa" w:w="3940"/>
            <w:tcMar>
              <w:top w:type="dxa" w:w="60"/>
              <w:left w:type="dxa" w:w="80"/>
              <w:bottom w:type="dxa" w:w="60"/>
              <w:right w:type="dxa" w:w="80"/>
            </w:tcMar>
            <w:vAlign w:val="center"/>
          </w:tcPr>
          <w:p>
            <w:pPr>
              <w:jc w:val="left"/>
            </w:pPr>
            <w:r>
              <w:rPr>
                <w:b w:val="false"/>
                <w:bCs w:val="false"/>
                <w:i w:val="false"/>
                <w:iCs w:val="false"/>
                <w:sz w:val="18"/>
                <w:szCs w:val="18"/>
              </w:rPr>
              <w:t xml:space="preserve">Controls Verified – ALARP</w:t>
            </w:r>
          </w:p>
        </w:tc>
      </w:tr>
      <w:tr>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I</w:t>
            </w:r>
          </w:p>
        </w:tc>
        <w:tc>
          <w:tcPr>
            <w:tcW w:type="dxa" w:w="1400"/>
            <w:tcMar>
              <w:top w:type="dxa" w:w="60"/>
              <w:left w:type="dxa" w:w="80"/>
              <w:bottom w:type="dxa" w:w="60"/>
              <w:right w:type="dxa" w:w="80"/>
            </w:tcMar>
            <w:vAlign w:val="center"/>
          </w:tcPr>
          <w:p>
            <w:pPr>
              <w:jc w:val="center"/>
            </w:pPr>
            <w:r>
              <w:rPr>
                <w:b w:val="false"/>
                <w:bCs w:val="false"/>
                <w:i w:val="false"/>
                <w:iCs w:val="false"/>
                <w:sz w:val="18"/>
                <w:szCs w:val="18"/>
              </w:rPr>
              <w:t xml:space="preserve">1–4</w:t>
            </w:r>
          </w:p>
        </w:tc>
        <w:tc>
          <w:tcPr>
            <w:tcW w:type="dxa" w:w="2600"/>
            <w:tcMar>
              <w:top w:type="dxa" w:w="60"/>
              <w:left w:type="dxa" w:w="80"/>
              <w:bottom w:type="dxa" w:w="60"/>
              <w:right w:type="dxa" w:w="80"/>
            </w:tcMar>
            <w:vAlign w:val="center"/>
          </w:tcPr>
          <w:p>
            <w:pPr>
              <w:jc w:val="left"/>
            </w:pPr>
            <w:r>
              <w:rPr>
                <w:b w:val="false"/>
                <w:bCs w:val="false"/>
                <w:i w:val="false"/>
                <w:iCs w:val="false"/>
                <w:sz w:val="18"/>
                <w:szCs w:val="18"/>
              </w:rPr>
              <w:t xml:space="preserve">Low</w:t>
            </w:r>
          </w:p>
        </w:tc>
        <w:tc>
          <w:tcPr>
            <w:tcW w:type="dxa" w:w="3940"/>
            <w:tcMar>
              <w:top w:type="dxa" w:w="60"/>
              <w:left w:type="dxa" w:w="80"/>
              <w:bottom w:type="dxa" w:w="60"/>
              <w:right w:type="dxa" w:w="80"/>
            </w:tcMar>
            <w:vAlign w:val="center"/>
          </w:tcPr>
          <w:p>
            <w:pPr>
              <w:jc w:val="left"/>
            </w:pPr>
            <w:r>
              <w:rPr>
                <w:b w:val="false"/>
                <w:bCs w:val="false"/>
                <w:i w:val="false"/>
                <w:iCs w:val="false"/>
                <w:sz w:val="18"/>
                <w:szCs w:val="18"/>
              </w:rPr>
              <w:t xml:space="preserve">No Mitigation Required</w:t>
            </w:r>
          </w:p>
        </w:tc>
      </w:tr>
    </w:tbl>
    <w:p>
      <w:pPr>
        <w:spacing w:after="200" w:before="100"/>
      </w:pPr>
      <w:r>
        <w:rPr>
          <w:i/>
          <w:iCs/>
          <w:color w:val="555555"/>
          <w:sz w:val="16"/>
          <w:szCs w:val="16"/>
        </w:rPr>
        <w:t xml:space="preserve">Source: SWDA–RAEC HSE Plan (17 July 26) / PE&amp;RM Plan (19 July 26), Attachment 1 – Risk Categories table.</w:t>
      </w:r>
    </w:p>
    <w:p>
      <w:pPr>
        <w:pStyle w:val="Heading2"/>
        <w:spacing w:before="200"/>
      </w:pPr>
      <w:r>
        <w:rPr>
          <w:b/>
          <w:bCs/>
          <w:color w:val="2E75B6"/>
        </w:rPr>
        <w:t xml:space="preserve">2.3  Chemical-Specific Risk Assessment Entries (JHSA)</w:t>
      </w:r>
    </w:p>
    <w:p>
      <w:pPr>
        <w:spacing w:after="150"/>
      </w:pPr>
      <w:r>
        <w:rPr>
          <w:i/>
          <w:iCs/>
          <w:sz w:val="18"/>
          <w:szCs w:val="18"/>
        </w:rPr>
        <w:t xml:space="preserve">The following entries from SWDA's Job Hazard &amp; Safety Analysis (JHSA) apply the process above specifically to chemicals used on this Project:</w:t>
      </w:r>
    </w:p>
    <w:tbl>
      <w:tblPr>
        <w:tblW w:type="dxa" w:w="9140"/>
        <w:tblBorders>
          <w:top w:val="single" w:color="auto" w:sz="4"/>
          <w:left w:val="single" w:color="auto" w:sz="4"/>
          <w:bottom w:val="single" w:color="auto" w:sz="4"/>
          <w:right w:val="single" w:color="auto" w:sz="4"/>
          <w:insideH w:val="single" w:color="auto" w:sz="4"/>
          <w:insideV w:val="single" w:color="auto" w:sz="4"/>
        </w:tblBorders>
      </w:tblPr>
      <w:tblGrid>
        <w:gridCol w:w="1200"/>
        <w:gridCol w:w="1300"/>
        <w:gridCol w:w="1700"/>
        <w:gridCol w:w="400"/>
        <w:gridCol w:w="400"/>
        <w:gridCol w:w="500"/>
        <w:gridCol w:w="2340"/>
        <w:gridCol w:w="400"/>
        <w:gridCol w:w="400"/>
        <w:gridCol w:w="500"/>
      </w:tblGrid>
      <w:tr>
        <w:trPr>
          <w:tblHeader/>
        </w:trPr>
        <w:tc>
          <w:tcPr>
            <w:tcW w:type="dxa" w:w="12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Hazard</w:t>
            </w:r>
          </w:p>
        </w:tc>
        <w:tc>
          <w:tcPr>
            <w:tcW w:type="dxa" w:w="13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Risk / Effect</w:t>
            </w:r>
          </w:p>
        </w:tc>
        <w:tc>
          <w:tcPr>
            <w:tcW w:type="dxa" w:w="17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Existing Controls</w:t>
            </w:r>
          </w:p>
        </w:tc>
        <w:tc>
          <w:tcPr>
            <w:tcW w:type="dxa" w:w="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C</w:t>
            </w:r>
          </w:p>
        </w:tc>
        <w:tc>
          <w:tcPr>
            <w:tcW w:type="dxa" w:w="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L</w:t>
            </w:r>
          </w:p>
        </w:tc>
        <w:tc>
          <w:tcPr>
            <w:tcW w:type="dxa" w:w="5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RR</w:t>
            </w:r>
          </w:p>
        </w:tc>
        <w:tc>
          <w:tcPr>
            <w:tcW w:type="dxa" w:w="23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Risk Mitigation Measures</w:t>
            </w:r>
          </w:p>
        </w:tc>
        <w:tc>
          <w:tcPr>
            <w:tcW w:type="dxa" w:w="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Res.
C</w:t>
            </w:r>
          </w:p>
        </w:tc>
        <w:tc>
          <w:tcPr>
            <w:tcW w:type="dxa" w:w="4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Res.
L</w:t>
            </w:r>
          </w:p>
        </w:tc>
        <w:tc>
          <w:tcPr>
            <w:tcW w:type="dxa" w:w="5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Res.
RR</w:t>
            </w:r>
          </w:p>
        </w:tc>
      </w:tr>
      <w:tr>
        <w:trPr>
          <w:cantSplit/>
        </w:trPr>
        <w:tc>
          <w:tcPr>
            <w:tcW w:type="dxa" w:w="1200"/>
            <w:tcMar>
              <w:top w:type="dxa" w:w="60"/>
              <w:left w:type="dxa" w:w="80"/>
              <w:bottom w:type="dxa" w:w="60"/>
              <w:right w:type="dxa" w:w="80"/>
            </w:tcMar>
            <w:vAlign w:val="center"/>
          </w:tcPr>
          <w:p>
            <w:pPr>
              <w:jc w:val="left"/>
            </w:pPr>
            <w:r>
              <w:rPr>
                <w:b w:val="false"/>
                <w:bCs w:val="false"/>
                <w:i w:val="false"/>
                <w:iCs w:val="false"/>
                <w:sz w:val="15"/>
                <w:szCs w:val="15"/>
              </w:rPr>
              <w:t xml:space="preserve">Chemicals – Maintenance Oils, Cleaning Chemicals</w:t>
            </w:r>
          </w:p>
        </w:tc>
        <w:tc>
          <w:tcPr>
            <w:tcW w:type="dxa" w:w="1300"/>
            <w:tcMar>
              <w:top w:type="dxa" w:w="60"/>
              <w:left w:type="dxa" w:w="80"/>
              <w:bottom w:type="dxa" w:w="60"/>
              <w:right w:type="dxa" w:w="80"/>
            </w:tcMar>
            <w:vAlign w:val="center"/>
          </w:tcPr>
          <w:p>
            <w:pPr>
              <w:jc w:val="left"/>
            </w:pPr>
            <w:r>
              <w:rPr>
                <w:b w:val="false"/>
                <w:bCs w:val="false"/>
                <w:i w:val="false"/>
                <w:iCs w:val="false"/>
                <w:sz w:val="15"/>
                <w:szCs w:val="15"/>
              </w:rPr>
              <w:t xml:space="preserve">Injury to personnel working in the area</w:t>
            </w:r>
          </w:p>
        </w:tc>
        <w:tc>
          <w:tcPr>
            <w:tcW w:type="dxa" w:w="1700"/>
            <w:tcMar>
              <w:top w:type="dxa" w:w="60"/>
              <w:left w:type="dxa" w:w="80"/>
              <w:bottom w:type="dxa" w:w="60"/>
              <w:right w:type="dxa" w:w="80"/>
            </w:tcMar>
            <w:vAlign w:val="center"/>
          </w:tcPr>
          <w:p>
            <w:pPr>
              <w:jc w:val="left"/>
            </w:pPr>
            <w:r>
              <w:rPr>
                <w:b w:val="false"/>
                <w:bCs w:val="false"/>
                <w:i w:val="false"/>
                <w:iCs w:val="false"/>
                <w:sz w:val="15"/>
                <w:szCs w:val="15"/>
              </w:rPr>
              <w:t xml:space="preserve">Hazardous Chemicals supplied in UN Approved Packaging. SDS Available. Permit to Work. Inductions.</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3</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2</w:t>
            </w:r>
          </w:p>
        </w:tc>
        <w:tc>
          <w:tcPr>
            <w:tcW w:type="dxa" w:w="500"/>
            <w:tcMar>
              <w:top w:type="dxa" w:w="60"/>
              <w:left w:type="dxa" w:w="80"/>
              <w:bottom w:type="dxa" w:w="60"/>
              <w:right w:type="dxa" w:w="80"/>
            </w:tcMar>
            <w:vAlign w:val="center"/>
          </w:tcPr>
          <w:p>
            <w:pPr>
              <w:jc w:val="center"/>
            </w:pPr>
            <w:r>
              <w:rPr>
                <w:b w:val="false"/>
                <w:bCs w:val="false"/>
                <w:i w:val="false"/>
                <w:iCs w:val="false"/>
                <w:sz w:val="15"/>
                <w:szCs w:val="15"/>
              </w:rPr>
              <w:t xml:space="preserve">II</w:t>
            </w:r>
          </w:p>
        </w:tc>
        <w:tc>
          <w:tcPr>
            <w:tcW w:type="dxa" w:w="2340"/>
            <w:tcMar>
              <w:top w:type="dxa" w:w="60"/>
              <w:left w:type="dxa" w:w="80"/>
              <w:bottom w:type="dxa" w:w="60"/>
              <w:right w:type="dxa" w:w="80"/>
            </w:tcMar>
            <w:vAlign w:val="center"/>
          </w:tcPr>
          <w:p>
            <w:pPr>
              <w:jc w:val="left"/>
            </w:pPr>
            <w:r>
              <w:rPr>
                <w:b w:val="false"/>
                <w:bCs w:val="false"/>
                <w:i w:val="false"/>
                <w:iCs w:val="false"/>
                <w:sz w:val="15"/>
                <w:szCs w:val="15"/>
              </w:rPr>
              <w:t xml:space="preserve">Trained Personnel (Safe Pass, Hazardous Chemical Safety Awareness, manual handling). Chemicals on Spill Pallet, Chemical Spill Kit, Appropriate PPE (Gloves, Coveralls, Safety Glasses) for routine work. Use Cartridge Filter Mask if pouring chemical from drum to tank.</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3</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1</w:t>
            </w:r>
          </w:p>
        </w:tc>
        <w:tc>
          <w:tcPr>
            <w:tcW w:type="dxa" w:w="500"/>
            <w:tcMar>
              <w:top w:type="dxa" w:w="60"/>
              <w:left w:type="dxa" w:w="80"/>
              <w:bottom w:type="dxa" w:w="60"/>
              <w:right w:type="dxa" w:w="80"/>
            </w:tcMar>
            <w:vAlign w:val="center"/>
          </w:tcPr>
          <w:p>
            <w:pPr>
              <w:jc w:val="center"/>
            </w:pPr>
            <w:r>
              <w:rPr>
                <w:b w:val="false"/>
                <w:bCs w:val="false"/>
                <w:i w:val="false"/>
                <w:iCs w:val="false"/>
                <w:sz w:val="15"/>
                <w:szCs w:val="15"/>
              </w:rPr>
              <w:t xml:space="preserve">I</w:t>
            </w:r>
          </w:p>
        </w:tc>
      </w:tr>
      <w:tr>
        <w:trPr>
          <w:cantSplit/>
        </w:trPr>
        <w:tc>
          <w:tcPr>
            <w:tcW w:type="dxa" w:w="1200"/>
            <w:tcMar>
              <w:top w:type="dxa" w:w="60"/>
              <w:left w:type="dxa" w:w="80"/>
              <w:bottom w:type="dxa" w:w="60"/>
              <w:right w:type="dxa" w:w="80"/>
            </w:tcMar>
            <w:vAlign w:val="center"/>
          </w:tcPr>
          <w:p>
            <w:pPr>
              <w:jc w:val="left"/>
            </w:pPr>
            <w:r>
              <w:rPr>
                <w:b w:val="false"/>
                <w:bCs w:val="false"/>
                <w:i w:val="false"/>
                <w:iCs w:val="false"/>
                <w:sz w:val="15"/>
                <w:szCs w:val="15"/>
              </w:rPr>
              <w:t xml:space="preserve">Tank Cleaning Diluent – Crude Oil / Gas Oil, Detergent</w:t>
            </w:r>
          </w:p>
        </w:tc>
        <w:tc>
          <w:tcPr>
            <w:tcW w:type="dxa" w:w="1300"/>
            <w:tcMar>
              <w:top w:type="dxa" w:w="60"/>
              <w:left w:type="dxa" w:w="80"/>
              <w:bottom w:type="dxa" w:w="60"/>
              <w:right w:type="dxa" w:w="80"/>
            </w:tcMar>
            <w:vAlign w:val="center"/>
          </w:tcPr>
          <w:p>
            <w:pPr>
              <w:jc w:val="left"/>
            </w:pPr>
            <w:r>
              <w:rPr>
                <w:b w:val="false"/>
                <w:bCs w:val="false"/>
                <w:i w:val="false"/>
                <w:iCs w:val="false"/>
                <w:sz w:val="15"/>
                <w:szCs w:val="15"/>
              </w:rPr>
              <w:t xml:space="preserve">Injury including fatal to personnel. Damage to property and environment.</w:t>
            </w:r>
          </w:p>
        </w:tc>
        <w:tc>
          <w:tcPr>
            <w:tcW w:type="dxa" w:w="1700"/>
            <w:tcMar>
              <w:top w:type="dxa" w:w="60"/>
              <w:left w:type="dxa" w:w="80"/>
              <w:bottom w:type="dxa" w:w="60"/>
              <w:right w:type="dxa" w:w="80"/>
            </w:tcMar>
            <w:vAlign w:val="center"/>
          </w:tcPr>
          <w:p>
            <w:pPr>
              <w:jc w:val="left"/>
            </w:pPr>
            <w:r>
              <w:rPr>
                <w:b w:val="false"/>
                <w:bCs w:val="false"/>
                <w:i w:val="false"/>
                <w:iCs w:val="false"/>
                <w:sz w:val="15"/>
                <w:szCs w:val="15"/>
              </w:rPr>
              <w:t xml:space="preserve">SDS Available. Bunded Site. Permit to Work System.</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5</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4</w:t>
            </w:r>
          </w:p>
        </w:tc>
        <w:tc>
          <w:tcPr>
            <w:tcW w:type="dxa" w:w="500"/>
            <w:tcMar>
              <w:top w:type="dxa" w:w="60"/>
              <w:left w:type="dxa" w:w="80"/>
              <w:bottom w:type="dxa" w:w="60"/>
              <w:right w:type="dxa" w:w="80"/>
            </w:tcMar>
            <w:vAlign w:val="center"/>
          </w:tcPr>
          <w:p>
            <w:pPr>
              <w:jc w:val="center"/>
            </w:pPr>
            <w:r>
              <w:rPr>
                <w:b w:val="false"/>
                <w:bCs w:val="false"/>
                <w:i w:val="false"/>
                <w:iCs w:val="false"/>
                <w:sz w:val="15"/>
                <w:szCs w:val="15"/>
              </w:rPr>
              <w:t xml:space="preserve">IV</w:t>
            </w:r>
          </w:p>
        </w:tc>
        <w:tc>
          <w:tcPr>
            <w:tcW w:type="dxa" w:w="2340"/>
            <w:tcMar>
              <w:top w:type="dxa" w:w="60"/>
              <w:left w:type="dxa" w:w="80"/>
              <w:bottom w:type="dxa" w:w="60"/>
              <w:right w:type="dxa" w:w="80"/>
            </w:tcMar>
            <w:vAlign w:val="center"/>
          </w:tcPr>
          <w:p>
            <w:pPr>
              <w:jc w:val="left"/>
            </w:pPr>
            <w:r>
              <w:rPr>
                <w:b w:val="false"/>
                <w:bCs w:val="false"/>
                <w:i w:val="false"/>
                <w:iCs w:val="false"/>
                <w:sz w:val="15"/>
                <w:szCs w:val="15"/>
              </w:rPr>
              <w:t xml:space="preserve">Automatic Tank Cleaning Employed. Tank under inert atmosphere (Nitrogen). ATEX Equipment utilised. Safe System of Work. Trained Personnel. Cordon off Works Area. Oil Spill Kit. All lines pressure tested prior to commencing works. O2 Monitoring – Automatic shutdown if Oxygen level rises above 8%. Use ATEX pump to transfer product from pontoon + bonded hosing.</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5</w:t>
            </w:r>
          </w:p>
        </w:tc>
        <w:tc>
          <w:tcPr>
            <w:tcW w:type="dxa" w:w="400"/>
            <w:tcMar>
              <w:top w:type="dxa" w:w="60"/>
              <w:left w:type="dxa" w:w="80"/>
              <w:bottom w:type="dxa" w:w="60"/>
              <w:right w:type="dxa" w:w="80"/>
            </w:tcMar>
            <w:vAlign w:val="center"/>
          </w:tcPr>
          <w:p>
            <w:pPr>
              <w:jc w:val="center"/>
            </w:pPr>
            <w:r>
              <w:rPr>
                <w:b w:val="false"/>
                <w:bCs w:val="false"/>
                <w:i w:val="false"/>
                <w:iCs w:val="false"/>
                <w:sz w:val="15"/>
                <w:szCs w:val="15"/>
              </w:rPr>
              <w:t xml:space="preserve">2</w:t>
            </w:r>
          </w:p>
        </w:tc>
        <w:tc>
          <w:tcPr>
            <w:tcW w:type="dxa" w:w="500"/>
            <w:tcMar>
              <w:top w:type="dxa" w:w="60"/>
              <w:left w:type="dxa" w:w="80"/>
              <w:bottom w:type="dxa" w:w="60"/>
              <w:right w:type="dxa" w:w="80"/>
            </w:tcMar>
            <w:vAlign w:val="center"/>
          </w:tcPr>
          <w:p>
            <w:pPr>
              <w:jc w:val="center"/>
            </w:pPr>
            <w:r>
              <w:rPr>
                <w:b w:val="false"/>
                <w:bCs w:val="false"/>
                <w:i w:val="false"/>
                <w:iCs w:val="false"/>
                <w:sz w:val="15"/>
                <w:szCs w:val="15"/>
              </w:rPr>
              <w:t xml:space="preserve">II</w:t>
            </w:r>
          </w:p>
        </w:tc>
      </w:tr>
    </w:tbl>
    <w:p>
      <w:pPr>
        <w:spacing w:after="200" w:before="100"/>
      </w:pPr>
      <w:r>
        <w:rPr>
          <w:i/>
          <w:iCs/>
          <w:color w:val="555555"/>
          <w:sz w:val="16"/>
          <w:szCs w:val="16"/>
        </w:rPr>
        <w:t xml:space="preserve">Source: SWDA–RAEC HSE Plan (17 July 26), Attachment 1 (JHSA), pp.64–65 / SWDA–RAEC PE&amp;RM Plan (19 July 26), Attachment 1. C = Consequence, L = Likelihood, RR = Risk Rating, Res. = Residual (after mitigation).</w:t>
      </w:r>
    </w:p>
    <w:p>
      <w:r>
        <w:br w:type="page"/>
      </w:r>
    </w:p>
    <w:p>
      <w:pPr>
        <w:pStyle w:val="Heading1"/>
      </w:pPr>
      <w:r>
        <w:rPr>
          <w:b/>
          <w:bCs/>
          <w:color w:val="1F4E78"/>
        </w:rPr>
        <w:t xml:space="preserve">3.0  Safety Data Sheets (SDS) as a Control Measure</w:t>
      </w:r>
    </w:p>
    <w:p>
      <w:r>
        <w:t xml:space="preserve">SDS Available is documented as an existing control for both chemical hazard entries in Section 2.3 above (Chemicals – Maintenance Oils, Cleaning Chemicals; and Tank Cleaning Diluent). Separately, for drummed chemical waste, the Material Safety Data Sheet (MSDS) and accurate labelling of toxic drums is required to inform and educate personnel of drum contents.</w:t>
      </w:r>
    </w:p>
    <w:p>
      <w:pPr>
        <w:spacing w:after="200" w:before="100"/>
      </w:pPr>
      <w:r>
        <w:rPr>
          <w:i/>
          <w:iCs/>
          <w:color w:val="555555"/>
          <w:sz w:val="16"/>
          <w:szCs w:val="16"/>
        </w:rPr>
        <w:t xml:space="preserve">Source: SWDA–RAEC HSE Plan (17 July 26) / PE&amp;RM Plan (19 July 26), Attachment 1 (JHSA); SWDA–RAEC Waste Mgmt Plan (19 July 26), Section on Empty Drums, p.8.</w:t>
      </w:r>
    </w:p>
    <w:p>
      <w:pPr>
        <w:pStyle w:val="Heading1"/>
        <w:spacing w:before="200"/>
      </w:pPr>
      <w:r>
        <w:rPr>
          <w:b/>
          <w:bCs/>
          <w:color w:val="1F4E78"/>
        </w:rPr>
        <w:t xml:space="preserve">4.0  Applicable Regulatory Permits &amp; Licenses</w:t>
      </w:r>
    </w:p>
    <w:p>
      <w:pPr>
        <w:spacing w:after="150"/>
      </w:pPr>
      <w:r>
        <w:t xml:space="preserve">Prior to commencement of work, and for every day thereafter, SWDA ensures the Permit to Work (PTW) is approved and re-validated by the asset operator, with all necessary equipment certifications available on-site. The following Permits are maintained and followed on this Project:</w:t>
      </w:r>
    </w:p>
    <w:tbl>
      <w:tblPr>
        <w:tblW w:type="dxa" w:w="9340"/>
        <w:tblBorders>
          <w:top w:val="single" w:color="auto" w:sz="4"/>
          <w:left w:val="single" w:color="auto" w:sz="4"/>
          <w:bottom w:val="single" w:color="auto" w:sz="4"/>
          <w:right w:val="single" w:color="auto" w:sz="4"/>
          <w:insideH w:val="single" w:color="auto" w:sz="4"/>
          <w:insideV w:val="single" w:color="auto" w:sz="4"/>
        </w:tblBorders>
      </w:tblPr>
      <w:tblGrid>
        <w:gridCol w:w="7000"/>
        <w:gridCol w:w="2340"/>
      </w:tblGrid>
      <w:tr>
        <w:tc>
          <w:tcPr>
            <w:tcW w:type="dxa" w:w="700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Permit / License</w:t>
            </w:r>
          </w:p>
        </w:tc>
        <w:tc>
          <w:tcPr>
            <w:tcW w:type="dxa" w:w="2340"/>
            <w:shd w:fill="2E75B6" w:val="clear"/>
            <w:tcMar>
              <w:top w:type="dxa" w:w="60"/>
              <w:left w:type="dxa" w:w="80"/>
              <w:bottom w:type="dxa" w:w="60"/>
              <w:right w:type="dxa" w:w="80"/>
            </w:tcMar>
            <w:vAlign w:val="center"/>
          </w:tcPr>
          <w:p>
            <w:pPr>
              <w:jc w:val="center"/>
            </w:pPr>
            <w:r>
              <w:rPr>
                <w:b/>
                <w:bCs/>
                <w:i w:val="false"/>
                <w:iCs w:val="false"/>
                <w:color w:val="FFFFFF"/>
                <w:sz w:val="15"/>
                <w:szCs w:val="15"/>
              </w:rPr>
              <w:t xml:space="preserve">Abbreviation</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NUPRC OGISP – Tank / Vessel Cleaning, Sludge &amp; Waste Management Permit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NUPRC</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General Work Permit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GWP</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Confined Space Entry Permit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CSEP</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Permit to Work</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PTW</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Hot Work Permit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HWP</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ER Water Permit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ERWP</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Emergency Rescue Plan</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ERP</w:t>
            </w:r>
          </w:p>
        </w:tc>
      </w:tr>
      <w:tr>
        <w:tc>
          <w:tcPr>
            <w:tcW w:type="dxa" w:w="7000"/>
            <w:tcMar>
              <w:top w:type="dxa" w:w="60"/>
              <w:left w:type="dxa" w:w="80"/>
              <w:bottom w:type="dxa" w:w="60"/>
              <w:right w:type="dxa" w:w="80"/>
            </w:tcMar>
            <w:vAlign w:val="center"/>
          </w:tcPr>
          <w:p>
            <w:pPr>
              <w:jc w:val="left"/>
            </w:pPr>
            <w:r>
              <w:rPr>
                <w:b w:val="false"/>
                <w:bCs w:val="false"/>
                <w:i w:val="false"/>
                <w:iCs w:val="false"/>
                <w:sz w:val="18"/>
                <w:szCs w:val="18"/>
              </w:rPr>
              <w:t xml:space="preserve">Save Your Life Action &amp; Start Work Checklist</w:t>
            </w:r>
          </w:p>
        </w:tc>
        <w:tc>
          <w:tcPr>
            <w:tcW w:type="dxa" w:w="2340"/>
            <w:tcMar>
              <w:top w:type="dxa" w:w="60"/>
              <w:left w:type="dxa" w:w="80"/>
              <w:bottom w:type="dxa" w:w="60"/>
              <w:right w:type="dxa" w:w="80"/>
            </w:tcMar>
            <w:vAlign w:val="center"/>
          </w:tcPr>
          <w:p>
            <w:pPr>
              <w:jc w:val="center"/>
            </w:pPr>
            <w:r>
              <w:rPr>
                <w:b w:val="false"/>
                <w:bCs w:val="false"/>
                <w:i w:val="false"/>
                <w:iCs w:val="false"/>
                <w:sz w:val="18"/>
                <w:szCs w:val="18"/>
              </w:rPr>
              <w:t xml:space="preserve">SYLA &amp; SWC</w:t>
            </w:r>
          </w:p>
        </w:tc>
      </w:tr>
    </w:tbl>
    <w:p>
      <w:pPr>
        <w:spacing w:after="200" w:before="100"/>
      </w:pPr>
      <w:r>
        <w:rPr>
          <w:i/>
          <w:iCs/>
          <w:color w:val="555555"/>
          <w:sz w:val="16"/>
          <w:szCs w:val="16"/>
        </w:rPr>
        <w:t xml:space="preserve">Source: SWDA–RAEC PE&amp;RM Plan (19 July 26), Sec. 7.0 “Applicable Project Permits” / SWDA–RAEC PIP &amp; Method Statement SOW (19 July 26), Sec. 6.0 “Project Permits.”</w:t>
      </w:r>
    </w:p>
    <w:p>
      <w:pPr>
        <w:pStyle w:val="Heading1"/>
        <w:spacing w:before="200"/>
      </w:pPr>
      <w:r>
        <w:rPr>
          <w:b/>
          <w:bCs/>
          <w:color w:val="1F4E78"/>
        </w:rPr>
        <w:t xml:space="preserve">5.0  SHOC Card — Hazardous Chemical Drum Requirement</w:t>
      </w:r>
    </w:p>
    <w:p>
      <w:r>
        <w:t xml:space="preserve">Every drum with hazardous content must be accompanied by its SHOC Card (SHOC = Safe Handling Of Chemicals). This requirement forms part of SWDA's Waste Classification &amp; Handling Chart, under which non-reusable hazardous drum contents must be strictly adhered to and drums sent to the Base Office for disposal.</w:t>
      </w:r>
    </w:p>
    <w:p>
      <w:pPr>
        <w:spacing w:after="200" w:before="100"/>
      </w:pPr>
      <w:r>
        <w:rPr>
          <w:i/>
          <w:iCs/>
          <w:color w:val="555555"/>
          <w:sz w:val="16"/>
          <w:szCs w:val="16"/>
        </w:rPr>
        <w:t xml:space="preserve">Source: SWDA–RAEC Waste Mgmt Plan (19 July 26), Table 2, p.13. “SHOC = Safe Handling Of Chemicals” per user clarification.</w:t>
      </w:r>
    </w:p>
    <w:p>
      <w:pPr>
        <w:pStyle w:val="Heading1"/>
        <w:spacing w:before="300"/>
      </w:pPr>
      <w:r>
        <w:rPr>
          <w:b/>
          <w:bCs/>
          <w:color w:val="1F4E78"/>
        </w:rPr>
        <w:t xml:space="preserve">6.0  Management Endorsement</w:t>
      </w:r>
    </w:p>
    <w:p>
      <w:pPr>
        <w:spacing w:after="200"/>
      </w:pPr>
      <w:r>
        <w:t xml:space="preserve">This Chemical Risk Management Process is issued for use on the SWDA–RAEC NME Tank Cleaning Project and is subject to review and endorsement in line with SWDA's HSE Policy sign-off convention.</w:t>
      </w:r>
    </w:p>
    <w:p>
      <w:pPr>
        <w:spacing w:after="200" w:before="100"/>
      </w:pPr>
      <w:r>
        <w:rPr>
          <w:i/>
          <w:iCs/>
          <w:color w:val="555555"/>
          <w:sz w:val="16"/>
          <w:szCs w:val="16"/>
        </w:rPr>
        <w:t xml:space="preserve">Reference: SWDA–RAEC HSE Plan (17 July 26), Policy Statements, each “SIGNED: 02/01/2026, CEO / Managing Director.”</w:t>
      </w:r>
    </w:p>
    <w:p>
      <w:pPr>
        <w:spacing w:before="600"/>
      </w:pPr>
      <w:r>
        <w:rPr>
          <w:b/>
          <w:bCs/>
        </w:rPr>
        <w:t xml:space="preserve">SIGNED: _______________________________</w:t>
      </w:r>
    </w:p>
    <w:p>
      <w:pPr>
        <w:spacing w:before="300"/>
      </w:pPr>
      <w:r>
        <w:rPr>
          <w:b/>
          <w:bCs/>
        </w:rPr>
        <w:t xml:space="preserve">DATE:   _______________________________</w:t>
      </w:r>
    </w:p>
    <w:p>
      <w:pPr>
        <w:spacing w:before="300"/>
      </w:pPr>
      <w:r>
        <w:rPr>
          <w:b/>
          <w:bCs/>
        </w:rPr>
        <w:t xml:space="preserve">CEO / MANAGING DIRECTOR</w:t>
      </w:r>
    </w:p>
    <w:p>
      <w:r>
        <w:rPr>
          <w:sz w:val="18"/>
          <w:szCs w:val="18"/>
        </w:rPr>
        <w:t xml:space="preserve">South West Design Africa Limited (SWDA)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55555"/>
        <w:sz w:val="14"/>
        <w:szCs w:val="14"/>
      </w:rPr>
      <w:t xml:space="preserve">Chemical Risk Management Process — Page </w:t>
    </w:r>
    <w:r>
      <w:rPr>
        <w:color w:val="555555"/>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4"/>
        <w:szCs w:val="14"/>
      </w:rPr>
      <w:t xml:space="preserve">SWDA – RAEC NME Tank Cleaning Project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2026-08-05T11:55:05.614Z</dcterms:created>
  <dcterms:modified xsi:type="dcterms:W3CDTF">2026-08-05T11:55:05.615Z</dcterms:modified>
</cp:coreProperties>
</file>

<file path=docProps/custom.xml><?xml version="1.0" encoding="utf-8"?>
<Properties xmlns="http://schemas.openxmlformats.org/officeDocument/2006/custom-properties" xmlns:vt="http://schemas.openxmlformats.org/officeDocument/2006/docPropsVTypes"/>
</file>