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jc w:val="center"/>
      </w:pPr>
      <w:r>
        <w:rPr>
          <w:b/>
          <w:bCs/>
          <w:color w:val="1F4E78"/>
          <w:sz w:val="32"/>
          <w:szCs w:val="32"/>
        </w:rPr>
        <w:t xml:space="preserve">SOUTH WEST DESIGN AFRICA LIMITED (SWDA)</w:t>
      </w:r>
    </w:p>
    <w:p>
      <w:pPr>
        <w:spacing w:before="300"/>
        <w:jc w:val="center"/>
      </w:pPr>
      <w:r>
        <w:rPr>
          <w:b/>
          <w:bCs/>
          <w:color w:val="1F4E78"/>
          <w:sz w:val="40"/>
          <w:szCs w:val="40"/>
        </w:rPr>
        <w:t xml:space="preserve">SECURITY RISK ASSESSMENT</w:t>
      </w:r>
    </w:p>
    <w:p>
      <w:pPr>
        <w:spacing w:before="100"/>
        <w:jc w:val="center"/>
      </w:pPr>
      <w:r>
        <w:rPr>
          <w:b/>
          <w:bCs/>
          <w:color w:val="1F4E78"/>
          <w:sz w:val="26"/>
          <w:szCs w:val="26"/>
        </w:rPr>
        <w:t xml:space="preserve">Risk Tolerance (Risk Appetite) &amp; Pathway to ALARP</w:t>
      </w:r>
    </w:p>
    <w:p>
      <w:pPr>
        <w:spacing w:before="200"/>
        <w:jc w:val="center"/>
      </w:pPr>
      <w:r>
        <w:rPr>
          <w:i/>
          <w:iCs/>
          <w:sz w:val="18"/>
          <w:szCs w:val="18"/>
        </w:rPr>
        <w:t xml:space="preserve">Hazard &amp; Effects Management Process (HEMP) | Security Enhancement Plan (SEP) | Site-Specific Security Risk/Threat Assessment</w:t>
      </w:r>
    </w:p>
    <w:p>
      <w:pPr>
        <w:spacing w:before="600"/>
        <w:jc w:val="center"/>
      </w:pPr>
      <w:r>
        <w:rPr>
          <w:sz w:val="22"/>
          <w:szCs w:val="22"/>
        </w:rPr>
        <w:t xml:space="preserve">SWDA – RAEC NME Tank Cleaning Project</w:t>
      </w:r>
    </w:p>
    <w:p>
      <w:pPr>
        <w:jc w:val="center"/>
      </w:pPr>
      <w:r>
        <w:rPr>
          <w:sz w:val="22"/>
          <w:szCs w:val="22"/>
        </w:rPr>
        <w:t xml:space="preserve">Contract CW-68582 / CW-515913</w:t>
      </w:r>
    </w:p>
    <w:p>
      <w:pPr>
        <w:spacing w:before="800"/>
        <w:jc w:val="center"/>
      </w:pPr>
      <w:r>
        <w:rPr>
          <w:b/>
          <w:bCs/>
          <w:sz w:val="20"/>
          <w:szCs w:val="20"/>
        </w:rPr>
        <w:t xml:space="preserve">August 2026</w:t>
      </w:r>
    </w:p>
    <w:p>
      <w:pPr>
        <w:spacing w:before="1200"/>
        <w:jc w:val="center"/>
      </w:pPr>
      <w:r>
        <w:rPr>
          <w:i/>
          <w:iCs/>
          <w:color w:val="555555"/>
          <w:sz w:val="18"/>
          <w:szCs w:val="18"/>
        </w:rPr>
        <w:t xml:space="preserve">This document consolidates SWDA's risk tolerance (risk appetite) and ALARP framework, and its Security Risk Assessment process, as documented in the SWDA–RAEC HSE Plan and Community Engagement &amp; Security Enhancement Plans (CEP &amp; SEP) for this Project.</w:t>
      </w:r>
    </w:p>
    <w:p>
      <w:r>
        <w:br w:type="page"/>
      </w:r>
    </w:p>
    <w:p>
      <w:pPr>
        <w:sectPr>
          <w:headerReference w:type="default" r:id="rId7"/>
          <w:footerReference w:type="default" r:id="rId8"/>
          <w:pgSz w:w="12240" w:h="15840" w:orient="portrait"/>
          <w:pgMar w:top="1440" w:right="1440" w:bottom="1440" w:left="1440" w:header="708" w:footer="708" w:gutter="0"/>
          <w:pgNumType/>
          <w:docGrid w:linePitch="360"/>
        </w:sectPr>
      </w:pPr>
    </w:p>
    <w:p>
      <w:pPr>
        <w:pStyle w:val="Heading1"/>
      </w:pPr>
      <w:r>
        <w:rPr>
          <w:b/>
          <w:bCs/>
          <w:color w:val="1F4E78"/>
        </w:rPr>
        <w:t xml:space="preserve">1.0  Purpose &amp; Scope</w:t>
      </w:r>
    </w:p>
    <w:p>
      <w:pPr>
        <w:spacing w:after="150"/>
      </w:pPr>
      <w:r>
        <w:t xml:space="preserve">This document sets out SWDA's risk tolerance (risk appetite) framework and how it is used to reduce risk to As Low As Reasonably Practicable (ALARP), and describes SWDA's Security Risk Assessment process for the SWDA–RAEC NME Tank Cleaning Project.</w:t>
      </w:r>
    </w:p>
    <w:p>
      <w:pPr>
        <w:spacing w:after="200" w:before="100"/>
      </w:pPr>
      <w:r>
        <w:rPr>
          <w:i/>
          <w:iCs/>
          <w:color w:val="555555"/>
          <w:sz w:val="16"/>
          <w:szCs w:val="16"/>
        </w:rPr>
        <w:t xml:space="preserve">“Risk appetite” is treated here as equivalent to “risk tolerance” per user clarification. The source documents use “risk tolerance” terminology (Intolerable / Tolerable / Low Risk); “risk appetite” does not itself appear in the source documents.</w:t>
      </w:r>
    </w:p>
    <w:p>
      <w:pPr>
        <w:pStyle w:val="Heading1"/>
        <w:spacing w:before="300"/>
      </w:pPr>
      <w:r>
        <w:rPr>
          <w:b/>
          <w:bCs/>
          <w:color w:val="1F4E78"/>
        </w:rPr>
        <w:t xml:space="preserve">2.0  Risk Tolerance (Risk Appetite) &amp; ALARP Framework</w:t>
      </w:r>
    </w:p>
    <w:p>
      <w:pPr>
        <w:pStyle w:val="Heading2"/>
      </w:pPr>
      <w:r>
        <w:rPr>
          <w:b/>
          <w:bCs/>
          <w:color w:val="2E75B6"/>
        </w:rPr>
        <w:t xml:space="preserve">2.1  ALARP — As Low As Reasonably Practicable</w:t>
      </w:r>
    </w:p>
    <w:p>
      <w:pPr>
        <w:spacing w:after="150"/>
      </w:pPr>
      <w:r>
        <w:t xml:space="preserve">The objective of SWDA's Hazard &amp; Effects Management Process (HEMP) is to ensure that all hazards involved with a specific operation are identified and evaluated, and the associated risks are managed to a level deemed ‘As Low As Reasonably Practicable (ALARP)’. Reducing a risk to ALARP involves balancing risk reduction against the time, trouble, difficulty and cost of achieving it — the point at which further reduction measures become unreasonably disproportionate to the additional risk reduction obtained.</w:t>
      </w:r>
    </w:p>
    <w:p>
      <w:pPr>
        <w:spacing w:after="200" w:before="100"/>
      </w:pPr>
      <w:r>
        <w:rPr>
          <w:i/>
          <w:iCs/>
          <w:color w:val="555555"/>
          <w:sz w:val="16"/>
          <w:szCs w:val="16"/>
        </w:rPr>
        <w:t xml:space="preserve">Source: SWDA–RAEC HSE Plan (17 July 26), Sec. 4.4.1 – Overview of HEMP.</w:t>
      </w:r>
    </w:p>
    <w:p>
      <w:pPr>
        <w:pStyle w:val="Heading2"/>
      </w:pPr>
      <w:r>
        <w:rPr>
          <w:b/>
          <w:bCs/>
          <w:color w:val="2E75B6"/>
        </w:rPr>
        <w:t xml:space="preserve">2.2  Hazard Ranking</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2200"/>
        <w:gridCol w:w="7140"/>
      </w:tblGrid>
      <w:tr>
        <w:tc>
          <w:tcPr>
            <w:tcW w:type="dxa" w:w="22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Ranking</w:t>
            </w:r>
          </w:p>
        </w:tc>
        <w:tc>
          <w:tcPr>
            <w:tcW w:type="dxa" w:w="71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Definition</w:t>
            </w:r>
          </w:p>
        </w:tc>
      </w:tr>
      <w:tr>
        <w:tc>
          <w:tcPr>
            <w:tcW w:type="dxa" w:w="2200"/>
            <w:tcMar>
              <w:top w:type="dxa" w:w="60"/>
              <w:left w:type="dxa" w:w="80"/>
              <w:bottom w:type="dxa" w:w="60"/>
              <w:right w:type="dxa" w:w="80"/>
            </w:tcMar>
            <w:vAlign w:val="center"/>
          </w:tcPr>
          <w:p>
            <w:pPr>
              <w:jc w:val="left"/>
            </w:pPr>
            <w:r>
              <w:rPr>
                <w:b w:val="false"/>
                <w:bCs w:val="false"/>
                <w:i w:val="false"/>
                <w:iCs w:val="false"/>
                <w:sz w:val="17"/>
                <w:szCs w:val="17"/>
              </w:rPr>
              <w:t xml:space="preserve">Major Hazards</w:t>
            </w:r>
          </w:p>
        </w:tc>
        <w:tc>
          <w:tcPr>
            <w:tcW w:type="dxa" w:w="7140"/>
            <w:tcMar>
              <w:top w:type="dxa" w:w="60"/>
              <w:left w:type="dxa" w:w="80"/>
              <w:bottom w:type="dxa" w:w="60"/>
              <w:right w:type="dxa" w:w="80"/>
            </w:tcMar>
            <w:vAlign w:val="center"/>
          </w:tcPr>
          <w:p>
            <w:pPr>
              <w:jc w:val="left"/>
            </w:pPr>
            <w:r>
              <w:rPr>
                <w:b w:val="false"/>
                <w:bCs w:val="false"/>
                <w:i w:val="false"/>
                <w:iCs w:val="false"/>
                <w:sz w:val="17"/>
                <w:szCs w:val="17"/>
              </w:rPr>
              <w:t xml:space="preserve">Hazards that, if realised, could result in consequences of Level 5 for People, Environment and Assets, and Level 4 or 5 for Reputation.</w:t>
            </w:r>
          </w:p>
        </w:tc>
      </w:tr>
      <w:tr>
        <w:tc>
          <w:tcPr>
            <w:tcW w:type="dxa" w:w="2200"/>
            <w:tcMar>
              <w:top w:type="dxa" w:w="60"/>
              <w:left w:type="dxa" w:w="80"/>
              <w:bottom w:type="dxa" w:w="60"/>
              <w:right w:type="dxa" w:w="80"/>
            </w:tcMar>
            <w:vAlign w:val="center"/>
          </w:tcPr>
          <w:p>
            <w:pPr>
              <w:jc w:val="left"/>
            </w:pPr>
            <w:r>
              <w:rPr>
                <w:b w:val="false"/>
                <w:bCs w:val="false"/>
                <w:i w:val="false"/>
                <w:iCs w:val="false"/>
                <w:sz w:val="17"/>
                <w:szCs w:val="17"/>
              </w:rPr>
              <w:t xml:space="preserve">Medium Hazards</w:t>
            </w:r>
          </w:p>
        </w:tc>
        <w:tc>
          <w:tcPr>
            <w:tcW w:type="dxa" w:w="7140"/>
            <w:tcMar>
              <w:top w:type="dxa" w:w="60"/>
              <w:left w:type="dxa" w:w="80"/>
              <w:bottom w:type="dxa" w:w="60"/>
              <w:right w:type="dxa" w:w="80"/>
            </w:tcMar>
            <w:vAlign w:val="center"/>
          </w:tcPr>
          <w:p>
            <w:pPr>
              <w:jc w:val="left"/>
            </w:pPr>
            <w:r>
              <w:rPr>
                <w:b w:val="false"/>
                <w:bCs w:val="false"/>
                <w:i w:val="false"/>
                <w:iCs w:val="false"/>
                <w:sz w:val="17"/>
                <w:szCs w:val="17"/>
              </w:rPr>
              <w:t xml:space="preserve">Hazards that, if realised, could result in consequences of Level 3 and 4 for People, Environment and Assets, and Level 3 for Reputation.</w:t>
            </w:r>
          </w:p>
        </w:tc>
      </w:tr>
      <w:tr>
        <w:tc>
          <w:tcPr>
            <w:tcW w:type="dxa" w:w="2200"/>
            <w:tcMar>
              <w:top w:type="dxa" w:w="60"/>
              <w:left w:type="dxa" w:w="80"/>
              <w:bottom w:type="dxa" w:w="60"/>
              <w:right w:type="dxa" w:w="80"/>
            </w:tcMar>
            <w:vAlign w:val="center"/>
          </w:tcPr>
          <w:p>
            <w:pPr>
              <w:jc w:val="left"/>
            </w:pPr>
            <w:r>
              <w:rPr>
                <w:b w:val="false"/>
                <w:bCs w:val="false"/>
                <w:i w:val="false"/>
                <w:iCs w:val="false"/>
                <w:sz w:val="17"/>
                <w:szCs w:val="17"/>
              </w:rPr>
              <w:t xml:space="preserve">Low Hazards</w:t>
            </w:r>
          </w:p>
        </w:tc>
        <w:tc>
          <w:tcPr>
            <w:tcW w:type="dxa" w:w="7140"/>
            <w:tcMar>
              <w:top w:type="dxa" w:w="60"/>
              <w:left w:type="dxa" w:w="80"/>
              <w:bottom w:type="dxa" w:w="60"/>
              <w:right w:type="dxa" w:w="80"/>
            </w:tcMar>
            <w:vAlign w:val="center"/>
          </w:tcPr>
          <w:p>
            <w:pPr>
              <w:jc w:val="left"/>
            </w:pPr>
            <w:r>
              <w:rPr>
                <w:b w:val="false"/>
                <w:bCs w:val="false"/>
                <w:i w:val="false"/>
                <w:iCs w:val="false"/>
                <w:sz w:val="17"/>
                <w:szCs w:val="17"/>
              </w:rPr>
              <w:t xml:space="preserve">Hazards that, if realised, could result in consequences of Level 0, 1 or 2 for People, Environment, Assets and Reputation.</w:t>
            </w:r>
          </w:p>
        </w:tc>
      </w:tr>
    </w:tbl>
    <w:p>
      <w:pPr>
        <w:spacing w:after="200" w:before="100"/>
      </w:pPr>
      <w:r>
        <w:rPr>
          <w:i/>
          <w:iCs/>
          <w:color w:val="555555"/>
          <w:sz w:val="16"/>
          <w:szCs w:val="16"/>
        </w:rPr>
        <w:t xml:space="preserve">Source: SWDA–RAEC HSE Plan (17 July 26), Fig. 1 – HSE Hazard Ranking, p.17.</w:t>
      </w:r>
    </w:p>
    <w:p>
      <w:pPr>
        <w:pStyle w:val="Heading2"/>
      </w:pPr>
      <w:r>
        <w:rPr>
          <w:b/>
          <w:bCs/>
          <w:color w:val="2E75B6"/>
        </w:rPr>
        <w:t xml:space="preserve">2.3  HSE Risk Types — Consequence Severity by Category</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700"/>
        <w:gridCol w:w="2160"/>
        <w:gridCol w:w="2160"/>
        <w:gridCol w:w="2160"/>
        <w:gridCol w:w="2160"/>
      </w:tblGrid>
      <w:tr>
        <w:tc>
          <w:tcPr>
            <w:tcW w:type="dxa" w:w="7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C/R</w:t>
            </w:r>
          </w:p>
        </w:tc>
        <w:tc>
          <w:tcPr>
            <w:tcW w:type="dxa" w:w="216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People (P)</w:t>
            </w:r>
          </w:p>
        </w:tc>
        <w:tc>
          <w:tcPr>
            <w:tcW w:type="dxa" w:w="216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Environment (E)</w:t>
            </w:r>
          </w:p>
        </w:tc>
        <w:tc>
          <w:tcPr>
            <w:tcW w:type="dxa" w:w="216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Reputation (R)</w:t>
            </w:r>
          </w:p>
        </w:tc>
        <w:tc>
          <w:tcPr>
            <w:tcW w:type="dxa" w:w="216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Assets (A)</w:t>
            </w:r>
          </w:p>
        </w:tc>
      </w:tr>
      <w:tr>
        <w:tc>
          <w:tcPr>
            <w:tcW w:type="dxa" w:w="700"/>
            <w:tcMar>
              <w:top w:type="dxa" w:w="60"/>
              <w:left w:type="dxa" w:w="80"/>
              <w:bottom w:type="dxa" w:w="60"/>
              <w:right w:type="dxa" w:w="80"/>
            </w:tcMar>
            <w:vAlign w:val="center"/>
          </w:tcPr>
          <w:p>
            <w:pPr>
              <w:jc w:val="center"/>
            </w:pPr>
            <w:r>
              <w:rPr>
                <w:b w:val="false"/>
                <w:bCs w:val="false"/>
                <w:i w:val="false"/>
                <w:iCs w:val="false"/>
                <w:sz w:val="17"/>
                <w:szCs w:val="17"/>
              </w:rPr>
              <w:t xml:space="preserve">0</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No Injury</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No Effect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No Impact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No Damage</w:t>
            </w:r>
          </w:p>
        </w:tc>
      </w:tr>
      <w:tr>
        <w:tc>
          <w:tcPr>
            <w:tcW w:type="dxa" w:w="700"/>
            <w:tcMar>
              <w:top w:type="dxa" w:w="60"/>
              <w:left w:type="dxa" w:w="80"/>
              <w:bottom w:type="dxa" w:w="60"/>
              <w:right w:type="dxa" w:w="80"/>
            </w:tcMar>
            <w:vAlign w:val="center"/>
          </w:tcPr>
          <w:p>
            <w:pPr>
              <w:jc w:val="center"/>
            </w:pPr>
            <w:r>
              <w:rPr>
                <w:b w:val="false"/>
                <w:bCs w:val="false"/>
                <w:i w:val="false"/>
                <w:iCs w:val="false"/>
                <w:sz w:val="17"/>
                <w:szCs w:val="17"/>
              </w:rPr>
              <w:t xml:space="preserve">1</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Slight Injury</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Slight Effect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Slight Impact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Slight Damage</w:t>
            </w:r>
          </w:p>
        </w:tc>
      </w:tr>
      <w:tr>
        <w:tc>
          <w:tcPr>
            <w:tcW w:type="dxa" w:w="700"/>
            <w:tcMar>
              <w:top w:type="dxa" w:w="60"/>
              <w:left w:type="dxa" w:w="80"/>
              <w:bottom w:type="dxa" w:w="60"/>
              <w:right w:type="dxa" w:w="80"/>
            </w:tcMar>
            <w:vAlign w:val="center"/>
          </w:tcPr>
          <w:p>
            <w:pPr>
              <w:jc w:val="center"/>
            </w:pPr>
            <w:r>
              <w:rPr>
                <w:b w:val="false"/>
                <w:bCs w:val="false"/>
                <w:i w:val="false"/>
                <w:iCs w:val="false"/>
                <w:sz w:val="17"/>
                <w:szCs w:val="17"/>
              </w:rPr>
              <w:t xml:space="preserve">2</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Minor Injury</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Minor Effect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Limited Impact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Minor Damage</w:t>
            </w:r>
          </w:p>
        </w:tc>
      </w:tr>
      <w:tr>
        <w:tc>
          <w:tcPr>
            <w:tcW w:type="dxa" w:w="700"/>
            <w:tcMar>
              <w:top w:type="dxa" w:w="60"/>
              <w:left w:type="dxa" w:w="80"/>
              <w:bottom w:type="dxa" w:w="60"/>
              <w:right w:type="dxa" w:w="80"/>
            </w:tcMar>
            <w:vAlign w:val="center"/>
          </w:tcPr>
          <w:p>
            <w:pPr>
              <w:jc w:val="center"/>
            </w:pPr>
            <w:r>
              <w:rPr>
                <w:b w:val="false"/>
                <w:bCs w:val="false"/>
                <w:i w:val="false"/>
                <w:iCs w:val="false"/>
                <w:sz w:val="17"/>
                <w:szCs w:val="17"/>
              </w:rPr>
              <w:t xml:space="preserve">3</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Major Injury</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Localized Effect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Considerable Impact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Localized Damage</w:t>
            </w:r>
          </w:p>
        </w:tc>
      </w:tr>
      <w:tr>
        <w:tc>
          <w:tcPr>
            <w:tcW w:type="dxa" w:w="700"/>
            <w:tcMar>
              <w:top w:type="dxa" w:w="60"/>
              <w:left w:type="dxa" w:w="80"/>
              <w:bottom w:type="dxa" w:w="60"/>
              <w:right w:type="dxa" w:w="80"/>
            </w:tcMar>
            <w:vAlign w:val="center"/>
          </w:tcPr>
          <w:p>
            <w:pPr>
              <w:jc w:val="center"/>
            </w:pPr>
            <w:r>
              <w:rPr>
                <w:b w:val="false"/>
                <w:bCs w:val="false"/>
                <w:i w:val="false"/>
                <w:iCs w:val="false"/>
                <w:sz w:val="17"/>
                <w:szCs w:val="17"/>
              </w:rPr>
              <w:t xml:space="preserve">4</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Single Fatality</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Major Effect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National Impact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Major Damage</w:t>
            </w:r>
          </w:p>
        </w:tc>
      </w:tr>
      <w:tr>
        <w:tc>
          <w:tcPr>
            <w:tcW w:type="dxa" w:w="700"/>
            <w:tcMar>
              <w:top w:type="dxa" w:w="60"/>
              <w:left w:type="dxa" w:w="80"/>
              <w:bottom w:type="dxa" w:w="60"/>
              <w:right w:type="dxa" w:w="80"/>
            </w:tcMar>
            <w:vAlign w:val="center"/>
          </w:tcPr>
          <w:p>
            <w:pPr>
              <w:jc w:val="center"/>
            </w:pPr>
            <w:r>
              <w:rPr>
                <w:b w:val="false"/>
                <w:bCs w:val="false"/>
                <w:i w:val="false"/>
                <w:iCs w:val="false"/>
                <w:sz w:val="17"/>
                <w:szCs w:val="17"/>
              </w:rPr>
              <w:t xml:space="preserve">5</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Multiple Fatality</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Massive Effect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International Impact</w:t>
            </w:r>
          </w:p>
        </w:tc>
        <w:tc>
          <w:tcPr>
            <w:tcW w:type="dxa" w:w="2160"/>
            <w:tcMar>
              <w:top w:type="dxa" w:w="60"/>
              <w:left w:type="dxa" w:w="80"/>
              <w:bottom w:type="dxa" w:w="60"/>
              <w:right w:type="dxa" w:w="80"/>
            </w:tcMar>
            <w:vAlign w:val="center"/>
          </w:tcPr>
          <w:p>
            <w:pPr>
              <w:jc w:val="left"/>
            </w:pPr>
            <w:r>
              <w:rPr>
                <w:b w:val="false"/>
                <w:bCs w:val="false"/>
                <w:i w:val="false"/>
                <w:iCs w:val="false"/>
                <w:sz w:val="17"/>
                <w:szCs w:val="17"/>
              </w:rPr>
              <w:t xml:space="preserve">Extensive Damage</w:t>
            </w:r>
          </w:p>
        </w:tc>
      </w:tr>
    </w:tbl>
    <w:p>
      <w:pPr>
        <w:spacing w:after="200" w:before="100"/>
      </w:pPr>
      <w:r>
        <w:rPr>
          <w:i/>
          <w:iCs/>
          <w:color w:val="555555"/>
          <w:sz w:val="16"/>
          <w:szCs w:val="16"/>
        </w:rPr>
        <w:t xml:space="preserve">Source: SWDA–RAEC HSE Plan (17 July 26), Fig. 2 – HSE Risk Types, p.18.</w:t>
      </w:r>
    </w:p>
    <w:p>
      <w:r>
        <w:br w:type="page"/>
      </w:r>
    </w:p>
    <w:p>
      <w:pPr>
        <w:pStyle w:val="Heading2"/>
      </w:pPr>
      <w:r>
        <w:rPr>
          <w:b/>
          <w:bCs/>
          <w:color w:val="2E75B6"/>
        </w:rPr>
        <w:t xml:space="preserve">2.4  Risk Ranking → Evaluation Methodology</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2600"/>
        <w:gridCol w:w="6740"/>
      </w:tblGrid>
      <w:tr>
        <w:tc>
          <w:tcPr>
            <w:tcW w:type="dxa" w:w="26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Risk Ranking</w:t>
            </w:r>
          </w:p>
        </w:tc>
        <w:tc>
          <w:tcPr>
            <w:tcW w:type="dxa" w:w="67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Cause / Consequence Evaluation Methodology</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Major Hazard</w:t>
            </w:r>
          </w:p>
        </w:tc>
        <w:tc>
          <w:tcPr>
            <w:tcW w:type="dxa" w:w="6740"/>
            <w:tcMar>
              <w:top w:type="dxa" w:w="60"/>
              <w:left w:type="dxa" w:w="80"/>
              <w:bottom w:type="dxa" w:w="60"/>
              <w:right w:type="dxa" w:w="80"/>
            </w:tcMar>
            <w:vAlign w:val="center"/>
          </w:tcPr>
          <w:p>
            <w:pPr>
              <w:jc w:val="left"/>
            </w:pPr>
            <w:r>
              <w:rPr>
                <w:b w:val="false"/>
                <w:bCs w:val="false"/>
                <w:i w:val="false"/>
                <w:iCs w:val="false"/>
                <w:sz w:val="17"/>
                <w:szCs w:val="17"/>
              </w:rPr>
              <w:t xml:space="preserve">‘Bowtie’ Analysis + other appropriate techniques.</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Significant Hazard</w:t>
            </w:r>
          </w:p>
        </w:tc>
        <w:tc>
          <w:tcPr>
            <w:tcW w:type="dxa" w:w="6740"/>
            <w:tcMar>
              <w:top w:type="dxa" w:w="60"/>
              <w:left w:type="dxa" w:w="80"/>
              <w:bottom w:type="dxa" w:w="60"/>
              <w:right w:type="dxa" w:w="80"/>
            </w:tcMar>
            <w:vAlign w:val="center"/>
          </w:tcPr>
          <w:p>
            <w:pPr>
              <w:jc w:val="left"/>
            </w:pPr>
            <w:r>
              <w:rPr>
                <w:b w:val="false"/>
                <w:bCs w:val="false"/>
                <w:i w:val="false"/>
                <w:iCs w:val="false"/>
                <w:sz w:val="17"/>
                <w:szCs w:val="17"/>
              </w:rPr>
              <w:t xml:space="preserve">Non-Bowtie analysis techniques, as appropriate to the hazard.</w:t>
            </w:r>
          </w:p>
        </w:tc>
      </w:tr>
      <w:tr>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Routine Hazard</w:t>
            </w:r>
          </w:p>
        </w:tc>
        <w:tc>
          <w:tcPr>
            <w:tcW w:type="dxa" w:w="6740"/>
            <w:tcMar>
              <w:top w:type="dxa" w:w="60"/>
              <w:left w:type="dxa" w:w="80"/>
              <w:bottom w:type="dxa" w:w="60"/>
              <w:right w:type="dxa" w:w="80"/>
            </w:tcMar>
            <w:vAlign w:val="center"/>
          </w:tcPr>
          <w:p>
            <w:pPr>
              <w:jc w:val="left"/>
            </w:pPr>
            <w:r>
              <w:rPr>
                <w:b w:val="false"/>
                <w:bCs w:val="false"/>
                <w:i w:val="false"/>
                <w:iCs w:val="false"/>
                <w:sz w:val="17"/>
                <w:szCs w:val="17"/>
              </w:rPr>
              <w:t xml:space="preserve">Non-Bowtie analysis techniques, as appropriate to the hazard.</w:t>
            </w:r>
          </w:p>
        </w:tc>
      </w:tr>
    </w:tbl>
    <w:p>
      <w:pPr>
        <w:spacing w:after="200" w:before="100"/>
      </w:pPr>
      <w:r>
        <w:rPr>
          <w:i/>
          <w:iCs/>
          <w:color w:val="555555"/>
          <w:sz w:val="16"/>
          <w:szCs w:val="16"/>
        </w:rPr>
        <w:t xml:space="preserve">Source: SWDA–RAEC HSE Plan (17 July 26), Fig. 3 – Evaluation Methodology, p.18.</w:t>
      </w:r>
    </w:p>
    <w:p>
      <w:pPr>
        <w:pStyle w:val="Heading2"/>
      </w:pPr>
      <w:r>
        <w:rPr>
          <w:b/>
          <w:bCs/>
          <w:color w:val="2E75B6"/>
        </w:rPr>
        <w:t xml:space="preserve">2.5  Risk Categories (Risk Assessment Matrix)</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2600"/>
        <w:gridCol w:w="3940"/>
      </w:tblGrid>
      <w:tr>
        <w:tc>
          <w:tcPr>
            <w:tcW w:type="dxa" w:w="1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Category</w:t>
            </w:r>
          </w:p>
        </w:tc>
        <w:tc>
          <w:tcPr>
            <w:tcW w:type="dxa" w:w="1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Range</w:t>
            </w:r>
          </w:p>
        </w:tc>
        <w:tc>
          <w:tcPr>
            <w:tcW w:type="dxa" w:w="26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Description</w:t>
            </w:r>
          </w:p>
        </w:tc>
        <w:tc>
          <w:tcPr>
            <w:tcW w:type="dxa" w:w="39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Required Action</w:t>
            </w:r>
          </w:p>
        </w:tc>
      </w:tr>
      <w:tr>
        <w:tc>
          <w:tcPr>
            <w:tcW w:type="dxa" w:w="1400"/>
            <w:tcMar>
              <w:top w:type="dxa" w:w="60"/>
              <w:left w:type="dxa" w:w="80"/>
              <w:bottom w:type="dxa" w:w="60"/>
              <w:right w:type="dxa" w:w="80"/>
            </w:tcMar>
            <w:vAlign w:val="center"/>
          </w:tcPr>
          <w:p>
            <w:pPr>
              <w:jc w:val="center"/>
            </w:pPr>
            <w:r>
              <w:rPr>
                <w:b w:val="false"/>
                <w:bCs w:val="false"/>
                <w:i w:val="false"/>
                <w:iCs w:val="false"/>
                <w:sz w:val="17"/>
                <w:szCs w:val="17"/>
              </w:rPr>
              <w:t xml:space="preserve">IV</w:t>
            </w:r>
          </w:p>
        </w:tc>
        <w:tc>
          <w:tcPr>
            <w:tcW w:type="dxa" w:w="1400"/>
            <w:tcMar>
              <w:top w:type="dxa" w:w="60"/>
              <w:left w:type="dxa" w:w="80"/>
              <w:bottom w:type="dxa" w:w="60"/>
              <w:right w:type="dxa" w:w="80"/>
            </w:tcMar>
            <w:vAlign w:val="center"/>
          </w:tcPr>
          <w:p>
            <w:pPr>
              <w:jc w:val="center"/>
            </w:pPr>
            <w:r>
              <w:rPr>
                <w:b w:val="false"/>
                <w:bCs w:val="false"/>
                <w:i w:val="false"/>
                <w:iCs w:val="false"/>
                <w:sz w:val="17"/>
                <w:szCs w:val="17"/>
              </w:rPr>
              <w:t xml:space="preserve">17–25</w:t>
            </w:r>
          </w:p>
        </w:tc>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High</w:t>
            </w:r>
          </w:p>
        </w:tc>
        <w:tc>
          <w:tcPr>
            <w:tcW w:type="dxa" w:w="3940"/>
            <w:tcMar>
              <w:top w:type="dxa" w:w="60"/>
              <w:left w:type="dxa" w:w="80"/>
              <w:bottom w:type="dxa" w:w="60"/>
              <w:right w:type="dxa" w:w="80"/>
            </w:tcMar>
            <w:vAlign w:val="center"/>
          </w:tcPr>
          <w:p>
            <w:pPr>
              <w:jc w:val="left"/>
            </w:pPr>
            <w:r>
              <w:rPr>
                <w:b w:val="false"/>
                <w:bCs w:val="false"/>
                <w:i w:val="false"/>
                <w:iCs w:val="false"/>
                <w:sz w:val="17"/>
                <w:szCs w:val="17"/>
              </w:rPr>
              <w:t xml:space="preserve">Mitigate with highest priority</w:t>
            </w:r>
          </w:p>
        </w:tc>
      </w:tr>
      <w:tr>
        <w:tc>
          <w:tcPr>
            <w:tcW w:type="dxa" w:w="1400"/>
            <w:tcMar>
              <w:top w:type="dxa" w:w="60"/>
              <w:left w:type="dxa" w:w="80"/>
              <w:bottom w:type="dxa" w:w="60"/>
              <w:right w:type="dxa" w:w="80"/>
            </w:tcMar>
            <w:vAlign w:val="center"/>
          </w:tcPr>
          <w:p>
            <w:pPr>
              <w:jc w:val="center"/>
            </w:pPr>
            <w:r>
              <w:rPr>
                <w:b w:val="false"/>
                <w:bCs w:val="false"/>
                <w:i w:val="false"/>
                <w:iCs w:val="false"/>
                <w:sz w:val="17"/>
                <w:szCs w:val="17"/>
              </w:rPr>
              <w:t xml:space="preserve">III</w:t>
            </w:r>
          </w:p>
        </w:tc>
        <w:tc>
          <w:tcPr>
            <w:tcW w:type="dxa" w:w="1400"/>
            <w:tcMar>
              <w:top w:type="dxa" w:w="60"/>
              <w:left w:type="dxa" w:w="80"/>
              <w:bottom w:type="dxa" w:w="60"/>
              <w:right w:type="dxa" w:w="80"/>
            </w:tcMar>
            <w:vAlign w:val="center"/>
          </w:tcPr>
          <w:p>
            <w:pPr>
              <w:jc w:val="center"/>
            </w:pPr>
            <w:r>
              <w:rPr>
                <w:b w:val="false"/>
                <w:bCs w:val="false"/>
                <w:i w:val="false"/>
                <w:iCs w:val="false"/>
                <w:sz w:val="17"/>
                <w:szCs w:val="17"/>
              </w:rPr>
              <w:t xml:space="preserve">12–16</w:t>
            </w:r>
          </w:p>
        </w:tc>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Significant</w:t>
            </w:r>
          </w:p>
        </w:tc>
        <w:tc>
          <w:tcPr>
            <w:tcW w:type="dxa" w:w="3940"/>
            <w:tcMar>
              <w:top w:type="dxa" w:w="60"/>
              <w:left w:type="dxa" w:w="80"/>
              <w:bottom w:type="dxa" w:w="60"/>
              <w:right w:type="dxa" w:w="80"/>
            </w:tcMar>
            <w:vAlign w:val="center"/>
          </w:tcPr>
          <w:p>
            <w:pPr>
              <w:jc w:val="left"/>
            </w:pPr>
            <w:r>
              <w:rPr>
                <w:b w:val="false"/>
                <w:bCs w:val="false"/>
                <w:i w:val="false"/>
                <w:iCs w:val="false"/>
                <w:sz w:val="17"/>
                <w:szCs w:val="17"/>
              </w:rPr>
              <w:t xml:space="preserve">Mitigate with Priority</w:t>
            </w:r>
          </w:p>
        </w:tc>
      </w:tr>
      <w:tr>
        <w:tc>
          <w:tcPr>
            <w:tcW w:type="dxa" w:w="1400"/>
            <w:tcMar>
              <w:top w:type="dxa" w:w="60"/>
              <w:left w:type="dxa" w:w="80"/>
              <w:bottom w:type="dxa" w:w="60"/>
              <w:right w:type="dxa" w:w="80"/>
            </w:tcMar>
            <w:vAlign w:val="center"/>
          </w:tcPr>
          <w:p>
            <w:pPr>
              <w:jc w:val="center"/>
            </w:pPr>
            <w:r>
              <w:rPr>
                <w:b w:val="false"/>
                <w:bCs w:val="false"/>
                <w:i w:val="false"/>
                <w:iCs w:val="false"/>
                <w:sz w:val="17"/>
                <w:szCs w:val="17"/>
              </w:rPr>
              <w:t xml:space="preserve">II</w:t>
            </w:r>
          </w:p>
        </w:tc>
        <w:tc>
          <w:tcPr>
            <w:tcW w:type="dxa" w:w="1400"/>
            <w:tcMar>
              <w:top w:type="dxa" w:w="60"/>
              <w:left w:type="dxa" w:w="80"/>
              <w:bottom w:type="dxa" w:w="60"/>
              <w:right w:type="dxa" w:w="80"/>
            </w:tcMar>
            <w:vAlign w:val="center"/>
          </w:tcPr>
          <w:p>
            <w:pPr>
              <w:jc w:val="center"/>
            </w:pPr>
            <w:r>
              <w:rPr>
                <w:b w:val="false"/>
                <w:bCs w:val="false"/>
                <w:i w:val="false"/>
                <w:iCs w:val="false"/>
                <w:sz w:val="17"/>
                <w:szCs w:val="17"/>
              </w:rPr>
              <w:t xml:space="preserve">5–10</w:t>
            </w:r>
          </w:p>
        </w:tc>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Medium</w:t>
            </w:r>
          </w:p>
        </w:tc>
        <w:tc>
          <w:tcPr>
            <w:tcW w:type="dxa" w:w="3940"/>
            <w:tcMar>
              <w:top w:type="dxa" w:w="60"/>
              <w:left w:type="dxa" w:w="80"/>
              <w:bottom w:type="dxa" w:w="60"/>
              <w:right w:type="dxa" w:w="80"/>
            </w:tcMar>
            <w:vAlign w:val="center"/>
          </w:tcPr>
          <w:p>
            <w:pPr>
              <w:jc w:val="left"/>
            </w:pPr>
            <w:r>
              <w:rPr>
                <w:b w:val="false"/>
                <w:bCs w:val="false"/>
                <w:i w:val="false"/>
                <w:iCs w:val="false"/>
                <w:sz w:val="17"/>
                <w:szCs w:val="17"/>
              </w:rPr>
              <w:t xml:space="preserve">Controls Verified – ALARP</w:t>
            </w:r>
          </w:p>
        </w:tc>
      </w:tr>
      <w:tr>
        <w:tc>
          <w:tcPr>
            <w:tcW w:type="dxa" w:w="1400"/>
            <w:tcMar>
              <w:top w:type="dxa" w:w="60"/>
              <w:left w:type="dxa" w:w="80"/>
              <w:bottom w:type="dxa" w:w="60"/>
              <w:right w:type="dxa" w:w="80"/>
            </w:tcMar>
            <w:vAlign w:val="center"/>
          </w:tcPr>
          <w:p>
            <w:pPr>
              <w:jc w:val="center"/>
            </w:pPr>
            <w:r>
              <w:rPr>
                <w:b w:val="false"/>
                <w:bCs w:val="false"/>
                <w:i w:val="false"/>
                <w:iCs w:val="false"/>
                <w:sz w:val="17"/>
                <w:szCs w:val="17"/>
              </w:rPr>
              <w:t xml:space="preserve">I</w:t>
            </w:r>
          </w:p>
        </w:tc>
        <w:tc>
          <w:tcPr>
            <w:tcW w:type="dxa" w:w="1400"/>
            <w:tcMar>
              <w:top w:type="dxa" w:w="60"/>
              <w:left w:type="dxa" w:w="80"/>
              <w:bottom w:type="dxa" w:w="60"/>
              <w:right w:type="dxa" w:w="80"/>
            </w:tcMar>
            <w:vAlign w:val="center"/>
          </w:tcPr>
          <w:p>
            <w:pPr>
              <w:jc w:val="center"/>
            </w:pPr>
            <w:r>
              <w:rPr>
                <w:b w:val="false"/>
                <w:bCs w:val="false"/>
                <w:i w:val="false"/>
                <w:iCs w:val="false"/>
                <w:sz w:val="17"/>
                <w:szCs w:val="17"/>
              </w:rPr>
              <w:t xml:space="preserve">1–4</w:t>
            </w:r>
          </w:p>
        </w:tc>
        <w:tc>
          <w:tcPr>
            <w:tcW w:type="dxa" w:w="2600"/>
            <w:tcMar>
              <w:top w:type="dxa" w:w="60"/>
              <w:left w:type="dxa" w:w="80"/>
              <w:bottom w:type="dxa" w:w="60"/>
              <w:right w:type="dxa" w:w="80"/>
            </w:tcMar>
            <w:vAlign w:val="center"/>
          </w:tcPr>
          <w:p>
            <w:pPr>
              <w:jc w:val="left"/>
            </w:pPr>
            <w:r>
              <w:rPr>
                <w:b w:val="false"/>
                <w:bCs w:val="false"/>
                <w:i w:val="false"/>
                <w:iCs w:val="false"/>
                <w:sz w:val="17"/>
                <w:szCs w:val="17"/>
              </w:rPr>
              <w:t xml:space="preserve">Low</w:t>
            </w:r>
          </w:p>
        </w:tc>
        <w:tc>
          <w:tcPr>
            <w:tcW w:type="dxa" w:w="3940"/>
            <w:tcMar>
              <w:top w:type="dxa" w:w="60"/>
              <w:left w:type="dxa" w:w="80"/>
              <w:bottom w:type="dxa" w:w="60"/>
              <w:right w:type="dxa" w:w="80"/>
            </w:tcMar>
            <w:vAlign w:val="center"/>
          </w:tcPr>
          <w:p>
            <w:pPr>
              <w:jc w:val="left"/>
            </w:pPr>
            <w:r>
              <w:rPr>
                <w:b w:val="false"/>
                <w:bCs w:val="false"/>
                <w:i w:val="false"/>
                <w:iCs w:val="false"/>
                <w:sz w:val="17"/>
                <w:szCs w:val="17"/>
              </w:rPr>
              <w:t xml:space="preserve">No Mitigation Required</w:t>
            </w:r>
          </w:p>
        </w:tc>
      </w:tr>
    </w:tbl>
    <w:p>
      <w:pPr>
        <w:spacing w:after="200" w:before="100"/>
      </w:pPr>
      <w:r>
        <w:rPr>
          <w:i/>
          <w:iCs/>
          <w:color w:val="555555"/>
          <w:sz w:val="16"/>
          <w:szCs w:val="16"/>
        </w:rPr>
        <w:t xml:space="preserve">Source: SWDA–RAEC HSE Plan (17 July 26) / PE&amp;RM Plan (19 July 26), Attachment 1 – Risk Categories table.</w:t>
      </w:r>
    </w:p>
    <w:p>
      <w:r>
        <w:br w:type="page"/>
      </w:r>
    </w:p>
    <w:p>
      <w:pPr>
        <w:pStyle w:val="Heading2"/>
      </w:pPr>
      <w:r>
        <w:rPr>
          <w:b/>
          <w:bCs/>
          <w:color w:val="2E75B6"/>
        </w:rPr>
        <w:t xml:space="preserve">2.6  Risk Tolerance Levels — HSE Barriers &amp; Recovery</w:t>
      </w:r>
    </w:p>
    <w:p>
      <w:pPr>
        <w:spacing w:after="150"/>
      </w:pPr>
      <w:r>
        <w:t xml:space="preserve">To determine whether a risk has been reduced to ALARP, the Risk Assessment Matrix (RAM) is applied. Controls required scale with the risk tolerance level reached — Intolerable, Tolerable, or Low Risk:</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2000"/>
        <w:gridCol w:w="2500"/>
        <w:gridCol w:w="2500"/>
        <w:gridCol w:w="2340"/>
      </w:tblGrid>
      <w:tr>
        <w:tc>
          <w:tcPr>
            <w:tcW w:type="dxa" w:w="20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Controls</w:t>
            </w:r>
          </w:p>
        </w:tc>
        <w:tc>
          <w:tcPr>
            <w:tcW w:type="dxa" w:w="25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Intolerable Risk</w:t>
            </w:r>
          </w:p>
        </w:tc>
        <w:tc>
          <w:tcPr>
            <w:tcW w:type="dxa" w:w="25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Tolerable Risk</w:t>
            </w:r>
          </w:p>
        </w:tc>
        <w:tc>
          <w:tcPr>
            <w:tcW w:type="dxa" w:w="23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Low Risk</w:t>
            </w:r>
          </w:p>
        </w:tc>
      </w:tr>
      <w:tr>
        <w:trPr>
          <w:cantSplit/>
        </w:trPr>
        <w:tc>
          <w:tcPr>
            <w:tcW w:type="dxa" w:w="2000"/>
            <w:tcMar>
              <w:top w:type="dxa" w:w="60"/>
              <w:left w:type="dxa" w:w="80"/>
              <w:bottom w:type="dxa" w:w="60"/>
              <w:right w:type="dxa" w:w="80"/>
            </w:tcMar>
            <w:vAlign w:val="center"/>
          </w:tcPr>
          <w:p>
            <w:pPr>
              <w:jc w:val="left"/>
            </w:pPr>
            <w:r>
              <w:rPr>
                <w:b w:val="false"/>
                <w:bCs w:val="false"/>
                <w:i w:val="false"/>
                <w:iCs w:val="false"/>
                <w:sz w:val="17"/>
                <w:szCs w:val="17"/>
              </w:rPr>
              <w:t xml:space="preserve">Threat Barriers</w:t>
            </w:r>
          </w:p>
        </w:tc>
        <w:tc>
          <w:tcPr>
            <w:tcW w:type="dxa" w:w="2500"/>
            <w:tcMar>
              <w:top w:type="dxa" w:w="60"/>
              <w:left w:type="dxa" w:w="80"/>
              <w:bottom w:type="dxa" w:w="60"/>
              <w:right w:type="dxa" w:w="80"/>
            </w:tcMar>
            <w:vAlign w:val="center"/>
          </w:tcPr>
          <w:p>
            <w:pPr>
              <w:jc w:val="left"/>
            </w:pPr>
            <w:r>
              <w:rPr>
                <w:b w:val="false"/>
                <w:bCs w:val="false"/>
                <w:i w:val="false"/>
                <w:iCs w:val="false"/>
                <w:sz w:val="17"/>
                <w:szCs w:val="17"/>
              </w:rPr>
              <w:t xml:space="preserve">Minimum of 3 independent effective barriers to be in place for each identified threat.</w:t>
            </w:r>
          </w:p>
        </w:tc>
        <w:tc>
          <w:tcPr>
            <w:tcW w:type="dxa" w:w="2500"/>
            <w:tcMar>
              <w:top w:type="dxa" w:w="60"/>
              <w:left w:type="dxa" w:w="80"/>
              <w:bottom w:type="dxa" w:w="60"/>
              <w:right w:type="dxa" w:w="80"/>
            </w:tcMar>
            <w:vAlign w:val="center"/>
          </w:tcPr>
          <w:p>
            <w:pPr>
              <w:jc w:val="left"/>
            </w:pPr>
            <w:r>
              <w:rPr>
                <w:b w:val="false"/>
                <w:bCs w:val="false"/>
                <w:i w:val="false"/>
                <w:iCs w:val="false"/>
                <w:sz w:val="17"/>
                <w:szCs w:val="17"/>
              </w:rPr>
              <w:t xml:space="preserve">Minimum of 2 independent effective barriers to be in place for each identified threat.</w:t>
            </w:r>
          </w:p>
        </w:tc>
        <w:tc>
          <w:tcPr>
            <w:tcW w:type="dxa" w:w="2340"/>
            <w:tcMar>
              <w:top w:type="dxa" w:w="60"/>
              <w:left w:type="dxa" w:w="80"/>
              <w:bottom w:type="dxa" w:w="60"/>
              <w:right w:type="dxa" w:w="80"/>
            </w:tcMar>
            <w:vAlign w:val="center"/>
          </w:tcPr>
          <w:p>
            <w:pPr>
              <w:jc w:val="left"/>
            </w:pPr>
            <w:r>
              <w:rPr>
                <w:b w:val="false"/>
                <w:bCs w:val="false"/>
                <w:i w:val="false"/>
                <w:iCs w:val="false"/>
                <w:sz w:val="17"/>
                <w:szCs w:val="17"/>
              </w:rPr>
              <w:t xml:space="preserve">No acceptance criterion because outside scope of hazard analysis.</w:t>
            </w:r>
          </w:p>
        </w:tc>
      </w:tr>
      <w:tr>
        <w:trPr>
          <w:cantSplit/>
        </w:trPr>
        <w:tc>
          <w:tcPr>
            <w:tcW w:type="dxa" w:w="2000"/>
            <w:tcMar>
              <w:top w:type="dxa" w:w="60"/>
              <w:left w:type="dxa" w:w="80"/>
              <w:bottom w:type="dxa" w:w="60"/>
              <w:right w:type="dxa" w:w="80"/>
            </w:tcMar>
            <w:vAlign w:val="center"/>
          </w:tcPr>
          <w:p>
            <w:pPr>
              <w:jc w:val="left"/>
            </w:pPr>
            <w:r>
              <w:rPr>
                <w:b w:val="false"/>
                <w:bCs w:val="false"/>
                <w:i w:val="false"/>
                <w:iCs w:val="false"/>
                <w:sz w:val="17"/>
                <w:szCs w:val="17"/>
              </w:rPr>
              <w:t xml:space="preserve">Recovery Preparedness Measures</w:t>
            </w:r>
          </w:p>
        </w:tc>
        <w:tc>
          <w:tcPr>
            <w:tcW w:type="dxa" w:w="2500"/>
            <w:tcMar>
              <w:top w:type="dxa" w:w="60"/>
              <w:left w:type="dxa" w:w="80"/>
              <w:bottom w:type="dxa" w:w="60"/>
              <w:right w:type="dxa" w:w="80"/>
            </w:tcMar>
            <w:vAlign w:val="center"/>
          </w:tcPr>
          <w:p>
            <w:pPr>
              <w:jc w:val="left"/>
            </w:pPr>
            <w:r>
              <w:rPr>
                <w:b w:val="false"/>
                <w:bCs w:val="false"/>
                <w:i w:val="false"/>
                <w:iCs w:val="false"/>
                <w:sz w:val="17"/>
                <w:szCs w:val="17"/>
              </w:rPr>
              <w:t xml:space="preserve">Minimum of 3 independent effective recovery preparedness measures required for each identified consequence (including one to automatically detect occurrence of top event, and one other to automatically prevent further escalation).</w:t>
            </w:r>
          </w:p>
        </w:tc>
        <w:tc>
          <w:tcPr>
            <w:tcW w:type="dxa" w:w="2500"/>
            <w:tcMar>
              <w:top w:type="dxa" w:w="60"/>
              <w:left w:type="dxa" w:w="80"/>
              <w:bottom w:type="dxa" w:w="60"/>
              <w:right w:type="dxa" w:w="80"/>
            </w:tcMar>
            <w:vAlign w:val="center"/>
          </w:tcPr>
          <w:p>
            <w:pPr>
              <w:jc w:val="left"/>
            </w:pPr>
            <w:r>
              <w:rPr>
                <w:b w:val="false"/>
                <w:bCs w:val="false"/>
                <w:i w:val="false"/>
                <w:iCs w:val="false"/>
                <w:sz w:val="17"/>
                <w:szCs w:val="17"/>
              </w:rPr>
              <w:t xml:space="preserve">Minimum of 2 independent effective recovery preparedness measures required for each identified consequence (one to detect occurrence of top event and other to prevent further escalation).</w:t>
            </w:r>
          </w:p>
        </w:tc>
        <w:tc>
          <w:tcPr>
            <w:tcW w:type="dxa" w:w="2340"/>
            <w:tcMar>
              <w:top w:type="dxa" w:w="60"/>
              <w:left w:type="dxa" w:w="80"/>
              <w:bottom w:type="dxa" w:w="60"/>
              <w:right w:type="dxa" w:w="80"/>
            </w:tcMar>
            <w:vAlign w:val="center"/>
          </w:tcPr>
          <w:p>
            <w:pPr>
              <w:jc w:val="left"/>
            </w:pPr>
            <w:r>
              <w:rPr>
                <w:b w:val="false"/>
                <w:bCs w:val="false"/>
                <w:i w:val="false"/>
                <w:iCs w:val="false"/>
                <w:sz w:val="17"/>
                <w:szCs w:val="17"/>
              </w:rPr>
              <w:t xml:space="preserve">No acceptance criterion because outside scope of hazard analysis.</w:t>
            </w:r>
          </w:p>
        </w:tc>
      </w:tr>
      <w:tr>
        <w:trPr>
          <w:cantSplit/>
        </w:trPr>
        <w:tc>
          <w:tcPr>
            <w:tcW w:type="dxa" w:w="2000"/>
            <w:tcMar>
              <w:top w:type="dxa" w:w="60"/>
              <w:left w:type="dxa" w:w="80"/>
              <w:bottom w:type="dxa" w:w="60"/>
              <w:right w:type="dxa" w:w="80"/>
            </w:tcMar>
            <w:vAlign w:val="center"/>
          </w:tcPr>
          <w:p>
            <w:pPr>
              <w:jc w:val="left"/>
            </w:pPr>
            <w:r>
              <w:rPr>
                <w:b w:val="false"/>
                <w:bCs w:val="false"/>
                <w:i w:val="false"/>
                <w:iCs w:val="false"/>
                <w:sz w:val="17"/>
                <w:szCs w:val="17"/>
              </w:rPr>
              <w:t xml:space="preserve">Escalation Factor Controls</w:t>
            </w:r>
          </w:p>
        </w:tc>
        <w:tc>
          <w:tcPr>
            <w:tcW w:type="dxa" w:w="2500"/>
            <w:tcMar>
              <w:top w:type="dxa" w:w="60"/>
              <w:left w:type="dxa" w:w="80"/>
              <w:bottom w:type="dxa" w:w="60"/>
              <w:right w:type="dxa" w:w="80"/>
            </w:tcMar>
            <w:vAlign w:val="center"/>
          </w:tcPr>
          <w:p>
            <w:pPr>
              <w:jc w:val="left"/>
            </w:pPr>
            <w:r>
              <w:rPr>
                <w:b w:val="false"/>
                <w:bCs w:val="false"/>
                <w:i w:val="false"/>
                <w:iCs w:val="false"/>
                <w:sz w:val="17"/>
                <w:szCs w:val="17"/>
              </w:rPr>
              <w:t xml:space="preserve">Minimum of 1 independent effective control for each identified escalation factor.</w:t>
            </w:r>
          </w:p>
        </w:tc>
        <w:tc>
          <w:tcPr>
            <w:tcW w:type="dxa" w:w="2500"/>
            <w:tcMar>
              <w:top w:type="dxa" w:w="60"/>
              <w:left w:type="dxa" w:w="80"/>
              <w:bottom w:type="dxa" w:w="60"/>
              <w:right w:type="dxa" w:w="80"/>
            </w:tcMar>
            <w:vAlign w:val="center"/>
          </w:tcPr>
          <w:p>
            <w:pPr>
              <w:jc w:val="left"/>
            </w:pPr>
            <w:r>
              <w:rPr>
                <w:b w:val="false"/>
                <w:bCs w:val="false"/>
                <w:i w:val="false"/>
                <w:iCs w:val="false"/>
                <w:sz w:val="17"/>
                <w:szCs w:val="17"/>
              </w:rPr>
              <w:t xml:space="preserve">Minimum of 1 independent effective control for each identified escalation factor.</w:t>
            </w:r>
          </w:p>
        </w:tc>
        <w:tc>
          <w:tcPr>
            <w:tcW w:type="dxa" w:w="2340"/>
            <w:tcMar>
              <w:top w:type="dxa" w:w="60"/>
              <w:left w:type="dxa" w:w="80"/>
              <w:bottom w:type="dxa" w:w="60"/>
              <w:right w:type="dxa" w:w="80"/>
            </w:tcMar>
            <w:vAlign w:val="center"/>
          </w:tcPr>
          <w:p>
            <w:pPr>
              <w:jc w:val="left"/>
            </w:pPr>
            <w:r>
              <w:rPr>
                <w:b w:val="false"/>
                <w:bCs w:val="false"/>
                <w:i w:val="false"/>
                <w:iCs w:val="false"/>
                <w:sz w:val="17"/>
                <w:szCs w:val="17"/>
              </w:rPr>
              <w:t xml:space="preserve">No acceptance criterion because outside scope of hazard analysis.</w:t>
            </w:r>
          </w:p>
        </w:tc>
      </w:tr>
    </w:tbl>
    <w:p>
      <w:pPr>
        <w:spacing w:after="200" w:before="100"/>
      </w:pPr>
      <w:r>
        <w:rPr>
          <w:i/>
          <w:iCs/>
          <w:color w:val="555555"/>
          <w:sz w:val="16"/>
          <w:szCs w:val="16"/>
        </w:rPr>
        <w:t xml:space="preserve">Source: SWDA–RAEC HSE Plan (17 July 26), Fig. 4 (Risk Assessment Matrix) &amp; Fig. 5 (HSE Barriers &amp; Recovery), pp.19–20.</w:t>
      </w:r>
    </w:p>
    <w:p>
      <w:r>
        <w:br w:type="page"/>
      </w:r>
    </w:p>
    <w:p>
      <w:pPr>
        <w:pStyle w:val="Heading1"/>
        <w:spacing w:before="300"/>
      </w:pPr>
      <w:r>
        <w:rPr>
          <w:b/>
          <w:bCs/>
          <w:color w:val="1F4E78"/>
        </w:rPr>
        <w:t xml:space="preserve">3.0  Security Risk Assessment Process</w:t>
      </w:r>
    </w:p>
    <w:p>
      <w:pPr>
        <w:pStyle w:val="Heading2"/>
      </w:pPr>
      <w:r>
        <w:rPr>
          <w:b/>
          <w:bCs/>
          <w:color w:val="2E75B6"/>
        </w:rPr>
        <w:t xml:space="preserve">3.1  Corporate Security Assessment</w:t>
      </w:r>
    </w:p>
    <w:p>
      <w:pPr>
        <w:spacing w:after="150"/>
      </w:pPr>
      <w:r>
        <w:t xml:space="preserve">Prior to any Renaissance Tank Site mobilization, SWDA's Corporate Security conducts a detailed Security Assessment of the operational area/concession and determines what responsibilities and associated exposure SWDA should undertake as Contractor to establish the required service. The assessment determines the extent of the Physical Security Profile to be allocated, at minimum commensurate to Industry Minimum Standards (IMS). Location and Security level are determined by: proximity to main roads; proximity to local villages; prior incidents within the area; current threat level; and current Community Relations situation.</w:t>
      </w:r>
    </w:p>
    <w:p>
      <w:pPr>
        <w:spacing w:after="200" w:before="100"/>
      </w:pPr>
      <w:r>
        <w:rPr>
          <w:i/>
          <w:iCs/>
          <w:color w:val="555555"/>
          <w:sz w:val="16"/>
          <w:szCs w:val="16"/>
        </w:rPr>
        <w:t xml:space="preserve">Source: SWE085_1.PDF (CEP &amp; SEP Plans, 19 July 26), Sec. 7.0, Item 1, p.18; Sec. 7.0 (Physical Security section), p.21.</w:t>
      </w:r>
    </w:p>
    <w:p>
      <w:pPr>
        <w:pStyle w:val="Heading2"/>
      </w:pPr>
      <w:r>
        <w:rPr>
          <w:b/>
          <w:bCs/>
          <w:color w:val="2E75B6"/>
        </w:rPr>
        <w:t xml:space="preserve">3.2  Security Risk Factors — Threat Landscape</w:t>
      </w:r>
    </w:p>
    <w:p>
      <w:pPr>
        <w:spacing w:after="150"/>
      </w:pPr>
      <w:r>
        <w:t xml:space="preserve">The primary security threat for visitors to Nigeria is crime, with visitors most likely affected by urban crime such as armed robbery, carjacking, and advance-fee fraud (“419”). Other security challenges identified are:</w:t>
      </w:r>
    </w:p>
    <w:p>
      <w:pPr>
        <w:pStyle w:val="ListParagraph"/>
        <w:numPr>
          <w:ilvl w:val="0"/>
          <w:numId w:val="1"/>
        </w:numPr>
        <w:spacing w:after="100"/>
      </w:pPr>
      <w:r>
        <w:rPr>
          <w:sz w:val="20"/>
          <w:szCs w:val="20"/>
        </w:rPr>
        <w:t xml:space="preserve">Terrorism — threat of terrorist attacks remains a concern especially in the Northern parts of the Country; approval of SWDA CEO/MD is required for all travel to the Northern parts of the Country.</w:t>
      </w:r>
    </w:p>
    <w:p>
      <w:pPr>
        <w:pStyle w:val="ListParagraph"/>
        <w:numPr>
          <w:ilvl w:val="0"/>
          <w:numId w:val="1"/>
        </w:numPr>
        <w:spacing w:after="100"/>
      </w:pPr>
      <w:r>
        <w:rPr>
          <w:sz w:val="20"/>
          <w:szCs w:val="20"/>
        </w:rPr>
        <w:t xml:space="preserve">Kidnapping — kidnapping for ransom is still ongoing in all parts of the Country; adherence to in-country security procedure is advised.</w:t>
      </w:r>
    </w:p>
    <w:p>
      <w:pPr>
        <w:pStyle w:val="ListParagraph"/>
        <w:numPr>
          <w:ilvl w:val="0"/>
          <w:numId w:val="1"/>
        </w:numPr>
        <w:spacing w:after="100"/>
      </w:pPr>
      <w:r>
        <w:rPr>
          <w:sz w:val="20"/>
          <w:szCs w:val="20"/>
        </w:rPr>
        <w:t xml:space="preserve">Civil Unrest — demonstrations occur and have the potential to suddenly turn violent; all political gatherings are to be avoided.</w:t>
      </w:r>
    </w:p>
    <w:p>
      <w:pPr>
        <w:spacing w:after="200" w:before="100"/>
      </w:pPr>
      <w:r>
        <w:rPr>
          <w:i/>
          <w:iCs/>
          <w:color w:val="555555"/>
          <w:sz w:val="16"/>
          <w:szCs w:val="16"/>
        </w:rPr>
        <w:t xml:space="preserve">Source: SWE085_1.PDF (CEP &amp; SEP Plans, 19 July 26), Sec. 7.0, Item 8 – Risk Assessment, p.22.</w:t>
      </w:r>
    </w:p>
    <w:p>
      <w:pPr>
        <w:pStyle w:val="Heading2"/>
      </w:pPr>
      <w:r>
        <w:rPr>
          <w:b/>
          <w:bCs/>
          <w:color w:val="2E75B6"/>
        </w:rPr>
        <w:t xml:space="preserve">3.3  HSSE Capability Assessment — Security Risk Cross-Reference</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4670"/>
        <w:gridCol w:w="4670"/>
      </w:tblGrid>
      <w:tr>
        <w:tc>
          <w:tcPr>
            <w:tcW w:type="dxa" w:w="467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Question</w:t>
            </w:r>
          </w:p>
        </w:tc>
        <w:tc>
          <w:tcPr>
            <w:tcW w:type="dxa" w:w="467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SWDA Response</w:t>
            </w:r>
          </w:p>
        </w:tc>
      </w:tr>
      <w:tr>
        <w:tc>
          <w:tcPr>
            <w:tcW w:type="dxa" w:w="4670"/>
            <w:tcMar>
              <w:top w:type="dxa" w:w="60"/>
              <w:left w:type="dxa" w:w="80"/>
              <w:bottom w:type="dxa" w:w="60"/>
              <w:right w:type="dxa" w:w="80"/>
            </w:tcMar>
            <w:vAlign w:val="center"/>
          </w:tcPr>
          <w:p>
            <w:pPr>
              <w:jc w:val="left"/>
            </w:pPr>
            <w:r>
              <w:rPr>
                <w:b w:val="false"/>
                <w:bCs w:val="false"/>
                <w:i w:val="false"/>
                <w:iCs w:val="false"/>
                <w:sz w:val="17"/>
                <w:szCs w:val="17"/>
              </w:rPr>
              <w:t xml:space="preserve">What are the preferred methods for undertaking risk assessments to effectively identify, assess and treat risks and threats related to security of people, assets, information and reputation to an acceptable level?</w:t>
            </w:r>
          </w:p>
        </w:tc>
        <w:tc>
          <w:tcPr>
            <w:tcW w:type="dxa" w:w="4670"/>
            <w:tcMar>
              <w:top w:type="dxa" w:w="60"/>
              <w:left w:type="dxa" w:w="80"/>
              <w:bottom w:type="dxa" w:w="60"/>
              <w:right w:type="dxa" w:w="80"/>
            </w:tcMar>
            <w:vAlign w:val="center"/>
          </w:tcPr>
          <w:p>
            <w:pPr>
              <w:jc w:val="left"/>
            </w:pPr>
            <w:r>
              <w:rPr>
                <w:b w:val="false"/>
                <w:bCs w:val="false"/>
                <w:i w:val="false"/>
                <w:iCs w:val="false"/>
                <w:sz w:val="17"/>
                <w:szCs w:val="17"/>
              </w:rPr>
              <w:t xml:space="preserve">See SWDA's Project HSE &amp; Security Enhancement Plans (SEP).</w:t>
            </w:r>
          </w:p>
        </w:tc>
      </w:tr>
      <w:tr>
        <w:tc>
          <w:tcPr>
            <w:tcW w:type="dxa" w:w="4670"/>
            <w:tcMar>
              <w:top w:type="dxa" w:w="60"/>
              <w:left w:type="dxa" w:w="80"/>
              <w:bottom w:type="dxa" w:w="60"/>
              <w:right w:type="dxa" w:w="80"/>
            </w:tcMar>
            <w:vAlign w:val="center"/>
          </w:tcPr>
          <w:p>
            <w:pPr>
              <w:jc w:val="left"/>
            </w:pPr>
            <w:r>
              <w:rPr>
                <w:b w:val="false"/>
                <w:bCs w:val="false"/>
                <w:i w:val="false"/>
                <w:iCs w:val="false"/>
                <w:sz w:val="17"/>
                <w:szCs w:val="17"/>
              </w:rPr>
              <w:t xml:space="preserve">What is the organization’s rationale for managing security risk and determining risk acceptability?</w:t>
            </w:r>
          </w:p>
        </w:tc>
        <w:tc>
          <w:tcPr>
            <w:tcW w:type="dxa" w:w="4670"/>
            <w:tcMar>
              <w:top w:type="dxa" w:w="60"/>
              <w:left w:type="dxa" w:w="80"/>
              <w:bottom w:type="dxa" w:w="60"/>
              <w:right w:type="dxa" w:w="80"/>
            </w:tcMar>
            <w:vAlign w:val="center"/>
          </w:tcPr>
          <w:p>
            <w:pPr>
              <w:jc w:val="left"/>
            </w:pPr>
            <w:r>
              <w:rPr>
                <w:b w:val="false"/>
                <w:bCs w:val="false"/>
                <w:i w:val="false"/>
                <w:iCs w:val="false"/>
                <w:sz w:val="17"/>
                <w:szCs w:val="17"/>
              </w:rPr>
              <w:t xml:space="preserve">See SWDA's Project HSE &amp; Security Enhancement Plans (SEP).</w:t>
            </w:r>
          </w:p>
        </w:tc>
      </w:tr>
      <w:tr>
        <w:tc>
          <w:tcPr>
            <w:tcW w:type="dxa" w:w="4670"/>
            <w:tcMar>
              <w:top w:type="dxa" w:w="60"/>
              <w:left w:type="dxa" w:w="80"/>
              <w:bottom w:type="dxa" w:w="60"/>
              <w:right w:type="dxa" w:w="80"/>
            </w:tcMar>
            <w:vAlign w:val="center"/>
          </w:tcPr>
          <w:p>
            <w:pPr>
              <w:jc w:val="left"/>
            </w:pPr>
            <w:r>
              <w:rPr>
                <w:b w:val="false"/>
                <w:bCs w:val="false"/>
                <w:i w:val="false"/>
                <w:iCs w:val="false"/>
                <w:sz w:val="17"/>
                <w:szCs w:val="17"/>
              </w:rPr>
              <w:t xml:space="preserve">Do you have specific objectives, policies and programmes on specific security threats and ensuring compliance with applicable regulations and voluntary codes of practice?</w:t>
            </w:r>
          </w:p>
        </w:tc>
        <w:tc>
          <w:tcPr>
            <w:tcW w:type="dxa" w:w="4670"/>
            <w:tcMar>
              <w:top w:type="dxa" w:w="60"/>
              <w:left w:type="dxa" w:w="80"/>
              <w:bottom w:type="dxa" w:w="60"/>
              <w:right w:type="dxa" w:w="80"/>
            </w:tcMar>
            <w:vAlign w:val="center"/>
          </w:tcPr>
          <w:p>
            <w:pPr>
              <w:jc w:val="left"/>
            </w:pPr>
            <w:r>
              <w:rPr>
                <w:b w:val="false"/>
                <w:bCs w:val="false"/>
                <w:i w:val="false"/>
                <w:iCs w:val="false"/>
                <w:sz w:val="17"/>
                <w:szCs w:val="17"/>
              </w:rPr>
              <w:t xml:space="preserve">See SWDA's Project HSE &amp; Security Enhancement Plans (SEP).</w:t>
            </w:r>
          </w:p>
        </w:tc>
      </w:tr>
      <w:tr>
        <w:tc>
          <w:tcPr>
            <w:tcW w:type="dxa" w:w="4670"/>
            <w:tcMar>
              <w:top w:type="dxa" w:w="60"/>
              <w:left w:type="dxa" w:w="80"/>
              <w:bottom w:type="dxa" w:w="60"/>
              <w:right w:type="dxa" w:w="80"/>
            </w:tcMar>
            <w:vAlign w:val="center"/>
          </w:tcPr>
          <w:p>
            <w:pPr>
              <w:jc w:val="left"/>
            </w:pPr>
            <w:r>
              <w:rPr>
                <w:b w:val="false"/>
                <w:bCs w:val="false"/>
                <w:i w:val="false"/>
                <w:iCs w:val="false"/>
                <w:sz w:val="17"/>
                <w:szCs w:val="17"/>
              </w:rPr>
              <w:t xml:space="preserve">Who is accountable and responsible for managing security risk?</w:t>
            </w:r>
          </w:p>
        </w:tc>
        <w:tc>
          <w:tcPr>
            <w:tcW w:type="dxa" w:w="4670"/>
            <w:tcMar>
              <w:top w:type="dxa" w:w="60"/>
              <w:left w:type="dxa" w:w="80"/>
              <w:bottom w:type="dxa" w:w="60"/>
              <w:right w:type="dxa" w:w="80"/>
            </w:tcMar>
            <w:vAlign w:val="center"/>
          </w:tcPr>
          <w:p>
            <w:pPr>
              <w:jc w:val="left"/>
            </w:pPr>
            <w:r>
              <w:rPr>
                <w:b w:val="false"/>
                <w:bCs w:val="false"/>
                <w:i w:val="false"/>
                <w:iCs w:val="false"/>
                <w:sz w:val="17"/>
                <w:szCs w:val="17"/>
              </w:rPr>
              <w:t xml:space="preserve">See SWDA's Project HSE &amp; Security Enhancement Plans (SEP).</w:t>
            </w:r>
          </w:p>
        </w:tc>
      </w:tr>
    </w:tbl>
    <w:p>
      <w:pPr>
        <w:spacing w:after="200" w:before="100"/>
      </w:pPr>
      <w:r>
        <w:rPr>
          <w:i/>
          <w:iCs/>
          <w:color w:val="555555"/>
          <w:sz w:val="16"/>
          <w:szCs w:val="16"/>
        </w:rPr>
        <w:t xml:space="preserve">Source: SWDAF_1.XLS, “Analysis and results” tab, Rows 112–115 (Security risk factors and impact, Sec. 5.5).</w:t>
      </w:r>
    </w:p>
    <w:p>
      <w:r>
        <w:br w:type="page"/>
      </w:r>
    </w:p>
    <w:p>
      <w:pPr>
        <w:pStyle w:val="Heading1"/>
        <w:spacing w:before="300"/>
      </w:pPr>
      <w:r>
        <w:rPr>
          <w:b/>
          <w:bCs/>
          <w:color w:val="1F4E78"/>
        </w:rPr>
        <w:t xml:space="preserve">4.0  Site-Specific Security Plan — Fillable Template</w:t>
      </w:r>
    </w:p>
    <w:p>
      <w:pPr>
        <w:spacing w:after="150"/>
      </w:pPr>
      <w:r>
        <w:t xml:space="preserve">Upon Award of an operational Scope of Work or Notice to Proceed, SWDA's Corporate Security Team produces an In-Country and Site-Specific Security Plan, dependent on Renaissance's security requirements and responsibilities. The section structure below is reproduced directly from SWDA's own outline. It is a BLANK TEMPLATE — no threat, intelligence, route, or risk-rating content has been filled in, since none exists in the project's source documents for the actual Tank Site locations. This table is for SWDA's Corporate Security Team to complete.</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900"/>
        <w:gridCol w:w="4200"/>
        <w:gridCol w:w="4240"/>
      </w:tblGrid>
      <w:tr>
        <w:trPr>
          <w:tblHeader/>
        </w:trPr>
        <w:tc>
          <w:tcPr>
            <w:tcW w:type="dxa" w:w="9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Section</w:t>
            </w:r>
          </w:p>
        </w:tc>
        <w:tc>
          <w:tcPr>
            <w:tcW w:type="dxa" w:w="42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Title</w:t>
            </w:r>
          </w:p>
        </w:tc>
        <w:tc>
          <w:tcPr>
            <w:tcW w:type="dxa" w:w="42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Content (To Be Completed by SWDA Corporate Security)</w:t>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1.0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INTRODUCTION</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2.0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PROJECT AREA</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3.0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RISK / THREAT ASSESSMENT</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3.1</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THE THREAT</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3.2</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INTELLIGENCE SUPPORT</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3.3</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PROJECT ACTIVITY OVERALL</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3.4</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ROUTE ANALYSIS TO / FROM PROJECT / BASE LOCATIONS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4.0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TRAVEL MANAGEMENT</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5.0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SECURITY REQUIREMENTS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5.1</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OPERATIONAL ESTABLISHMENT AND SUPPORT</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5.2</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JOURNEY MANAGEMENT PLAN</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5.3</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PERSONAL SECURITY DETAILS (PSD)</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5.4</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PHYSICAL SECURITY MEASURES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5.5</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WORK SITE ACCESS CONTROL</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5.6</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TRANSPORTATION OF EXPLOSIVES AND DETONATORS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5.7</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LOGISTIC SUPPORT PLAN</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6.0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COMMUNICATIONS PLAN</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7.0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MEDICAL PLAN</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7.1</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MEDICAL EVACUATION PROCEDURES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7.2</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PSD TEAM MEDICAL QUALIFICATIONS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7.3</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TIERED MEDICAL RESPONSE</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7.4</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REPATRIATIONS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8.0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EMERGENCY PROCEDURES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8.1</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INCIDENT MANAGEMENT</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8.2</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EVACUATION PLAN</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9.0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PSC HUMAN RESOURCES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9.1</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PERSONNEL RECRUITING AND VETTING</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val="false"/>
                <w:bCs w:val="false"/>
                <w:i w:val="false"/>
                <w:iCs w:val="false"/>
                <w:sz w:val="17"/>
                <w:szCs w:val="17"/>
              </w:rPr>
              <w:t xml:space="preserve">9.2</w:t>
            </w:r>
          </w:p>
        </w:tc>
        <w:tc>
          <w:tcPr>
            <w:tcW w:type="dxa" w:w="4200"/>
            <w:tcMar>
              <w:top w:type="dxa" w:w="60"/>
              <w:left w:type="dxa" w:w="80"/>
              <w:bottom w:type="dxa" w:w="60"/>
              <w:right w:type="dxa" w:w="80"/>
            </w:tcMar>
            <w:vAlign w:val="center"/>
          </w:tcPr>
          <w:p>
            <w:pPr>
              <w:jc w:val="left"/>
            </w:pPr>
            <w:r>
              <w:rPr>
                <w:b w:val="false"/>
                <w:bCs w:val="false"/>
                <w:i w:val="false"/>
                <w:iCs w:val="false"/>
                <w:sz w:val="17"/>
                <w:szCs w:val="17"/>
              </w:rPr>
              <w:t xml:space="preserve">CREW SELECTION AND TRAINING</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10.0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QUALITY ASSURANCE / QUALITY CONTROL PROCESS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11.0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HOST NATION COMPLIANCE</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12.0</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VOLUNTARY PRINCIPLES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Annex A</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STATIC GUARD ORDERS</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Annex B</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SITE HANDOVER FORM</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Annex C</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SWDA PROJECT EMERGENCY RESPONSE PLAN (PERP)</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Annex D</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SWDA CMT POINTS OF CONTACT</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Annex E</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EVACUATION PROCEDURE (ROAD &amp; MARINE)</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Annex F</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INCIDENT REPORTING COMMUNICATIONS PROTOCOL</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r>
        <w:trPr>
          <w:cantSplit/>
        </w:trPr>
        <w:tc>
          <w:tcPr>
            <w:tcW w:type="dxa" w:w="900"/>
            <w:tcMar>
              <w:top w:type="dxa" w:w="60"/>
              <w:left w:type="dxa" w:w="80"/>
              <w:bottom w:type="dxa" w:w="60"/>
              <w:right w:type="dxa" w:w="80"/>
            </w:tcMar>
            <w:vAlign w:val="center"/>
          </w:tcPr>
          <w:p>
            <w:pPr>
              <w:jc w:val="center"/>
            </w:pPr>
            <w:r>
              <w:rPr>
                <w:b/>
                <w:bCs/>
                <w:i w:val="false"/>
                <w:iCs w:val="false"/>
                <w:color w:val="2E75B6"/>
                <w:sz w:val="17"/>
                <w:szCs w:val="17"/>
              </w:rPr>
              <w:t xml:space="preserve">Annex G</w:t>
            </w:r>
          </w:p>
        </w:tc>
        <w:tc>
          <w:tcPr>
            <w:tcW w:type="dxa" w:w="4200"/>
            <w:tcMar>
              <w:top w:type="dxa" w:w="60"/>
              <w:left w:type="dxa" w:w="80"/>
              <w:bottom w:type="dxa" w:w="60"/>
              <w:right w:type="dxa" w:w="80"/>
            </w:tcMar>
            <w:vAlign w:val="center"/>
          </w:tcPr>
          <w:p>
            <w:pPr>
              <w:jc w:val="left"/>
            </w:pPr>
            <w:r>
              <w:rPr>
                <w:b/>
                <w:bCs/>
                <w:i w:val="false"/>
                <w:iCs w:val="false"/>
                <w:color w:val="2E75B6"/>
                <w:sz w:val="17"/>
                <w:szCs w:val="17"/>
              </w:rPr>
              <w:t xml:space="preserve">PHYSICAL SECURITY PROFILE: TANK CLEANING OPERATION</w:t>
            </w:r>
          </w:p>
        </w:tc>
        <w:tc>
          <w:tcPr>
            <w:tcW w:type="dxa" w:w="4240"/>
            <w:shd w:fill="F2F2F2" w:val="clear"/>
            <w:tcMar>
              <w:top w:type="dxa" w:w="60"/>
              <w:left w:type="dxa" w:w="80"/>
              <w:bottom w:type="dxa" w:w="60"/>
              <w:right w:type="dxa" w:w="80"/>
            </w:tcMar>
            <w:vAlign w:val="center"/>
          </w:tcPr>
          <w:p>
            <w:pPr>
              <w:jc w:val="left"/>
            </w:pPr>
            <w:r>
              <w:rPr>
                <w:b w:val="false"/>
                <w:bCs w:val="false"/>
                <w:i w:val="false"/>
                <w:iCs w:val="false"/>
                <w:sz w:val="17"/>
                <w:szCs w:val="17"/>
              </w:rPr>
              <w:t xml:space="preserve"/>
            </w:r>
          </w:p>
        </w:tc>
      </w:tr>
    </w:tbl>
    <w:p>
      <w:pPr>
        <w:spacing w:after="200" w:before="100"/>
      </w:pPr>
      <w:r>
        <w:rPr>
          <w:i/>
          <w:iCs/>
          <w:color w:val="555555"/>
          <w:sz w:val="16"/>
          <w:szCs w:val="16"/>
        </w:rPr>
        <w:t xml:space="preserve">Source: SWE085_1.PDF (CEP &amp; SEP Plans, 19 July 26), Attachment 1 – Preparation of Project Site-Specific Security Plans, p.28.</w:t>
      </w:r>
    </w:p>
    <w:p>
      <w:r>
        <w:br w:type="page"/>
      </w:r>
    </w:p>
    <w:p>
      <w:pPr>
        <w:pStyle w:val="Heading1"/>
        <w:spacing w:before="300"/>
      </w:pPr>
      <w:r>
        <w:rPr>
          <w:b/>
          <w:bCs/>
          <w:color w:val="1F4E78"/>
        </w:rPr>
        <w:t xml:space="preserve">5.0  Management Endorsement</w:t>
      </w:r>
    </w:p>
    <w:p>
      <w:pPr>
        <w:spacing w:after="150"/>
      </w:pPr>
      <w:r>
        <w:t xml:space="preserve">This Security Risk Assessment — Risk Tolerance &amp; ALARP document is issued for use on the SWDA–RAEC NME Tank Cleaning Project and is subject to review and endorsement in line with SWDA's HSE Policy sign-off convention.</w:t>
      </w:r>
    </w:p>
    <w:p>
      <w:pPr>
        <w:spacing w:after="200" w:before="100"/>
      </w:pPr>
      <w:r>
        <w:rPr>
          <w:i/>
          <w:iCs/>
          <w:color w:val="555555"/>
          <w:sz w:val="16"/>
          <w:szCs w:val="16"/>
        </w:rPr>
        <w:t xml:space="preserve">Reference: SWDA–RAEC HSE Plan (17 July 26), Policy Statements, each “SIGNED: 02/01/2026, CEO / Managing Director.”</w:t>
      </w:r>
    </w:p>
    <w:p>
      <w:pPr>
        <w:spacing w:before="500"/>
      </w:pPr>
      <w:r>
        <w:rPr>
          <w:b/>
          <w:bCs/>
        </w:rPr>
        <w:t xml:space="preserve">SIGNED: _______________________________</w:t>
      </w:r>
    </w:p>
    <w:p>
      <w:pPr>
        <w:spacing w:before="300"/>
      </w:pPr>
      <w:r>
        <w:rPr>
          <w:b/>
          <w:bCs/>
        </w:rPr>
        <w:t xml:space="preserve">DATE:   _______________________________</w:t>
      </w:r>
    </w:p>
    <w:p>
      <w:pPr>
        <w:spacing w:before="300"/>
      </w:pPr>
      <w:r>
        <w:rPr>
          <w:b/>
          <w:bCs/>
        </w:rPr>
        <w:t xml:space="preserve">CEO / MANAGING DIRECTOR</w:t>
      </w:r>
    </w:p>
    <w:p>
      <w:r>
        <w:rPr>
          <w:sz w:val="18"/>
          <w:szCs w:val="18"/>
        </w:rPr>
        <w:t xml:space="preserve">South West Design Africa Limited (SWDA)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4"/>
        <w:szCs w:val="14"/>
      </w:rPr>
      <w:t xml:space="preserve">Security Risk Assessment — Risk Tolerance &amp; ALARP — Page </w:t>
    </w:r>
    <w:r>
      <w:rPr>
        <w:color w:val="555555"/>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4"/>
        <w:szCs w:val="14"/>
      </w:rPr>
      <w:t xml:space="preserve">SWDA – RAEC NME Tank Cleaning Project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2026-08-05T13:01:49.115Z</dcterms:created>
  <dcterms:modified xsi:type="dcterms:W3CDTF">2026-08-05T13:01:49.130Z</dcterms:modified>
</cp:coreProperties>
</file>

<file path=docProps/custom.xml><?xml version="1.0" encoding="utf-8"?>
<Properties xmlns="http://schemas.openxmlformats.org/officeDocument/2006/custom-properties" xmlns:vt="http://schemas.openxmlformats.org/officeDocument/2006/docPropsVTypes"/>
</file>