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p>
    <w:p>
      <w:pPr>
        <w:jc w:val="center"/>
      </w:pPr>
      <w:r>
        <w:rPr>
          <w:b/>
          <w:bCs/>
          <w:color w:val="1F4E78"/>
          <w:sz w:val="32"/>
          <w:szCs w:val="32"/>
        </w:rPr>
        <w:t xml:space="preserve">SOUTH WEST DESIGN AFRICA LIMITED (SWDA)</w:t>
      </w:r>
    </w:p>
    <w:p>
      <w:pPr>
        <w:spacing w:before="300"/>
        <w:jc w:val="center"/>
      </w:pPr>
      <w:r>
        <w:rPr>
          <w:b/>
          <w:bCs/>
          <w:color w:val="1F4E78"/>
          <w:sz w:val="36"/>
          <w:szCs w:val="36"/>
        </w:rPr>
        <w:t xml:space="preserve">SECURITY ALERT DISSEMINATION &amp; CASCADE</w:t>
      </w:r>
    </w:p>
    <w:p>
      <w:pPr>
        <w:spacing w:before="200"/>
        <w:jc w:val="center"/>
      </w:pPr>
      <w:r>
        <w:rPr>
          <w:i/>
          <w:iCs/>
          <w:sz w:val="18"/>
          <w:szCs w:val="18"/>
        </w:rPr>
        <w:t xml:space="preserve">Incident Reporting Cascade | Communication Methods | Alert Levels | Crisis Management Team Escalation</w:t>
      </w:r>
    </w:p>
    <w:p>
      <w:pPr>
        <w:spacing w:before="600"/>
        <w:jc w:val="center"/>
      </w:pPr>
      <w:r>
        <w:rPr>
          <w:sz w:val="22"/>
          <w:szCs w:val="22"/>
        </w:rPr>
        <w:t xml:space="preserve">SWDA – RAEC NME Tank Cleaning Project</w:t>
      </w:r>
    </w:p>
    <w:p>
      <w:pPr>
        <w:jc w:val="center"/>
      </w:pPr>
      <w:r>
        <w:rPr>
          <w:sz w:val="22"/>
          <w:szCs w:val="22"/>
        </w:rPr>
        <w:t xml:space="preserve">Contract CW-68582 / CW-515913</w:t>
      </w:r>
    </w:p>
    <w:p>
      <w:pPr>
        <w:spacing w:before="800"/>
        <w:jc w:val="center"/>
      </w:pPr>
      <w:r>
        <w:rPr>
          <w:b/>
          <w:bCs/>
          <w:sz w:val="20"/>
          <w:szCs w:val="20"/>
        </w:rPr>
        <w:t xml:space="preserve">August 2026</w:t>
      </w:r>
    </w:p>
    <w:p>
      <w:pPr>
        <w:spacing w:before="1200"/>
        <w:jc w:val="center"/>
      </w:pPr>
      <w:r>
        <w:rPr>
          <w:i/>
          <w:iCs/>
          <w:color w:val="555555"/>
          <w:sz w:val="18"/>
          <w:szCs w:val="18"/>
        </w:rPr>
        <w:t xml:space="preserve">This document consolidates how SWDA disseminates and cascades Security Alerts to all personnel in the organization, as documented in the SWDA–RAEC Community Engagement &amp; Security Enhancement Plans (CEP &amp; SEP).</w:t>
      </w:r>
    </w:p>
    <w:p>
      <w:r>
        <w:br w:type="page"/>
      </w:r>
    </w:p>
    <w:p>
      <w:pPr>
        <w:sectPr>
          <w:headerReference w:type="default" r:id="rId7"/>
          <w:footerReference w:type="default" r:id="rId8"/>
          <w:pgSz w:w="12240" w:h="15840" w:orient="portrait"/>
          <w:pgMar w:top="1440" w:right="1440" w:bottom="1440" w:left="1440" w:header="708" w:footer="708" w:gutter="0"/>
          <w:pgNumType/>
          <w:docGrid w:linePitch="360"/>
        </w:sectPr>
      </w:pPr>
    </w:p>
    <w:p>
      <w:pPr>
        <w:pStyle w:val="Heading1"/>
      </w:pPr>
      <w:r>
        <w:rPr>
          <w:b/>
          <w:bCs/>
          <w:color w:val="1F4E78"/>
        </w:rPr>
        <w:t xml:space="preserve">1.0  Purpose &amp; Scope</w:t>
      </w:r>
    </w:p>
    <w:p>
      <w:pPr>
        <w:spacing w:after="150"/>
      </w:pPr>
      <w:r>
        <w:t xml:space="preserve">This document sets out how SWDA disseminates Security Alerts and cascades security information to all personnel across the SWDA–RAEC NME Tank Cleaning Project — covering the incident reporting cascade, the tiered methods of communication, the Alert Level system, and escalation to the Crisis Management Team (CMT).</w:t>
      </w:r>
    </w:p>
    <w:p>
      <w:pPr>
        <w:pStyle w:val="Heading1"/>
        <w:spacing w:before="300"/>
      </w:pPr>
      <w:r>
        <w:rPr>
          <w:b/>
          <w:bCs/>
          <w:color w:val="1F4E78"/>
        </w:rPr>
        <w:t xml:space="preserve">2.0  Security Incident Reporting Cascade</w:t>
      </w:r>
    </w:p>
    <w:p>
      <w:pPr>
        <w:spacing w:after="150"/>
      </w:pPr>
      <w:r>
        <w:t xml:space="preserve">Where SWDA has Security Primacy, all security incidents at the Tank Site or project activities are reported to the RENAISSANCE Contractor Security Supervisor, who forwards a Daily Incident Report of any incident at the facility to the SWDA Security Team in-country — which in turn cascades the report to the Regional Security Team. Where SWDA does not have Security Primacy, all incidents instead go through the RENAISSANCE Company-designated Security Network.</w:t>
      </w:r>
    </w:p>
    <w:p>
      <w:pPr>
        <w:spacing w:after="200" w:before="100"/>
      </w:pPr>
      <w:r>
        <w:rPr>
          <w:i/>
          <w:iCs/>
          <w:color w:val="555555"/>
          <w:sz w:val="16"/>
          <w:szCs w:val="16"/>
        </w:rPr>
        <w:t xml:space="preserve">Source: SWE085_1.PDF (CEP &amp; SEP Plans, 19 July 26), Sec. 7.0, Item 10 – Reporting, p.23.</w:t>
      </w:r>
    </w:p>
    <w:p>
      <w:pPr>
        <w:spacing w:after="80"/>
      </w:pPr>
      <w:r>
        <w:rPr>
          <w:b/>
          <w:bCs/>
          <w:sz w:val="20"/>
          <w:szCs w:val="20"/>
        </w:rPr>
        <w:t xml:space="preserve">1.  Tank Site / Project Activity — security incident occurs</w:t>
      </w:r>
    </w:p>
    <w:p>
      <w:pPr>
        <w:spacing w:after="80"/>
      </w:pPr>
      <w:r>
        <w:rPr>
          <w:b w:val="false"/>
          <w:bCs w:val="false"/>
          <w:sz w:val="20"/>
          <w:szCs w:val="20"/>
        </w:rPr>
        <w:t xml:space="preserve">2.  RENAISSANCE Contractor Security Supervisor — receives report on-site</w:t>
      </w:r>
    </w:p>
    <w:p>
      <w:pPr>
        <w:spacing w:after="80"/>
      </w:pPr>
      <w:r>
        <w:rPr>
          <w:b w:val="false"/>
          <w:bCs w:val="false"/>
          <w:sz w:val="20"/>
          <w:szCs w:val="20"/>
        </w:rPr>
        <w:t xml:space="preserve">3.  Daily Incident Report — forwarded to SWDA Security Team in-country</w:t>
      </w:r>
    </w:p>
    <w:p>
      <w:pPr>
        <w:spacing w:after="80"/>
      </w:pPr>
      <w:r>
        <w:rPr>
          <w:b/>
          <w:bCs/>
          <w:sz w:val="20"/>
          <w:szCs w:val="20"/>
        </w:rPr>
        <w:t xml:space="preserve">4.  SWDA Security Team (in-country) — cascades to Regional Security Team</w:t>
      </w:r>
    </w:p>
    <w:p>
      <w:pPr>
        <w:pStyle w:val="Heading1"/>
        <w:spacing w:before="300"/>
      </w:pPr>
      <w:r>
        <w:rPr>
          <w:b/>
          <w:bCs/>
          <w:color w:val="1F4E78"/>
        </w:rPr>
        <w:t xml:space="preserve">3.0  Methods of Communication — Three-Tier Cascade</w:t>
      </w:r>
    </w:p>
    <w:p>
      <w:pPr>
        <w:spacing w:after="150"/>
      </w:pPr>
      <w:r>
        <w:t xml:space="preserve">SWDA communicates security information to employees through a tiered structure, with methods varying by operational theatre and importance of communication:</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2400"/>
        <w:gridCol w:w="6940"/>
      </w:tblGrid>
      <w:tr>
        <w:tc>
          <w:tcPr>
            <w:tcW w:type="dxa" w:w="24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Level</w:t>
            </w:r>
          </w:p>
        </w:tc>
        <w:tc>
          <w:tcPr>
            <w:tcW w:type="dxa" w:w="694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Communication Channels</w:t>
            </w:r>
          </w:p>
        </w:tc>
      </w:tr>
      <w:tr>
        <w:trPr>
          <w:cantSplit/>
        </w:trPr>
        <w:tc>
          <w:tcPr>
            <w:tcW w:type="dxa" w:w="2400"/>
            <w:tcMar>
              <w:top w:type="dxa" w:w="60"/>
              <w:left w:type="dxa" w:w="80"/>
              <w:bottom w:type="dxa" w:w="60"/>
              <w:right w:type="dxa" w:w="80"/>
            </w:tcMar>
            <w:vAlign w:val="center"/>
          </w:tcPr>
          <w:p>
            <w:pPr>
              <w:jc w:val="left"/>
            </w:pPr>
            <w:r>
              <w:rPr>
                <w:b w:val="false"/>
                <w:bCs w:val="false"/>
                <w:i w:val="false"/>
                <w:iCs w:val="false"/>
                <w:sz w:val="17"/>
                <w:szCs w:val="17"/>
              </w:rPr>
              <w:t xml:space="preserve">Global Level</w:t>
            </w:r>
          </w:p>
        </w:tc>
        <w:tc>
          <w:tcPr>
            <w:tcW w:type="dxa" w:w="6940"/>
            <w:tcMar>
              <w:top w:type="dxa" w:w="60"/>
              <w:left w:type="dxa" w:w="80"/>
              <w:bottom w:type="dxa" w:w="60"/>
              <w:right w:type="dxa" w:w="80"/>
            </w:tcMar>
            <w:vAlign w:val="center"/>
          </w:tcPr>
          <w:p>
            <w:pPr>
              <w:jc w:val="left"/>
            </w:pPr>
            <w:r>
              <w:rPr>
                <w:b w:val="false"/>
                <w:bCs w:val="false"/>
                <w:i w:val="false"/>
                <w:iCs w:val="false"/>
                <w:sz w:val="17"/>
                <w:szCs w:val="17"/>
              </w:rPr>
              <w:t xml:space="preserve">External Security Web-Page; Travel Advisory E-Mail / text / text-to-voice; External Security Warnings – E-Mail / text / text-to-voice.</w:t>
            </w:r>
          </w:p>
        </w:tc>
      </w:tr>
      <w:tr>
        <w:trPr>
          <w:cantSplit/>
        </w:trPr>
        <w:tc>
          <w:tcPr>
            <w:tcW w:type="dxa" w:w="2400"/>
            <w:tcMar>
              <w:top w:type="dxa" w:w="60"/>
              <w:left w:type="dxa" w:w="80"/>
              <w:bottom w:type="dxa" w:w="60"/>
              <w:right w:type="dxa" w:w="80"/>
            </w:tcMar>
            <w:vAlign w:val="center"/>
          </w:tcPr>
          <w:p>
            <w:pPr>
              <w:jc w:val="left"/>
            </w:pPr>
            <w:r>
              <w:rPr>
                <w:b w:val="false"/>
                <w:bCs w:val="false"/>
                <w:i w:val="false"/>
                <w:iCs w:val="false"/>
                <w:sz w:val="17"/>
                <w:szCs w:val="17"/>
              </w:rPr>
              <w:t xml:space="preserve">Regional – West Africa Level</w:t>
            </w:r>
          </w:p>
        </w:tc>
        <w:tc>
          <w:tcPr>
            <w:tcW w:type="dxa" w:w="6940"/>
            <w:tcMar>
              <w:top w:type="dxa" w:w="60"/>
              <w:left w:type="dxa" w:w="80"/>
              <w:bottom w:type="dxa" w:w="60"/>
              <w:right w:type="dxa" w:w="80"/>
            </w:tcMar>
            <w:vAlign w:val="center"/>
          </w:tcPr>
          <w:p>
            <w:pPr>
              <w:jc w:val="left"/>
            </w:pPr>
            <w:r>
              <w:rPr>
                <w:b w:val="false"/>
                <w:bCs w:val="false"/>
                <w:i w:val="false"/>
                <w:iCs w:val="false"/>
                <w:sz w:val="17"/>
                <w:szCs w:val="17"/>
              </w:rPr>
              <w:t xml:space="preserve">Regional Briefings (Voice / E-Mail); Regional E-Mail Alerts and information Intranet boards; S.A.F.E Intranet boards; S.A.F.E Leaflets; Individual memos or letters.</w:t>
            </w:r>
          </w:p>
        </w:tc>
      </w:tr>
      <w:tr>
        <w:trPr>
          <w:cantSplit/>
        </w:trPr>
        <w:tc>
          <w:tcPr>
            <w:tcW w:type="dxa" w:w="2400"/>
            <w:tcMar>
              <w:top w:type="dxa" w:w="60"/>
              <w:left w:type="dxa" w:w="80"/>
              <w:bottom w:type="dxa" w:w="60"/>
              <w:right w:type="dxa" w:w="80"/>
            </w:tcMar>
            <w:vAlign w:val="center"/>
          </w:tcPr>
          <w:p>
            <w:pPr>
              <w:jc w:val="left"/>
            </w:pPr>
            <w:r>
              <w:rPr>
                <w:b w:val="false"/>
                <w:bCs w:val="false"/>
                <w:i w:val="false"/>
                <w:iCs w:val="false"/>
                <w:sz w:val="17"/>
                <w:szCs w:val="17"/>
              </w:rPr>
              <w:t xml:space="preserve">Country / Site-Specific Level</w:t>
            </w:r>
          </w:p>
        </w:tc>
        <w:tc>
          <w:tcPr>
            <w:tcW w:type="dxa" w:w="6940"/>
            <w:tcMar>
              <w:top w:type="dxa" w:w="60"/>
              <w:left w:type="dxa" w:w="80"/>
              <w:bottom w:type="dxa" w:w="60"/>
              <w:right w:type="dxa" w:w="80"/>
            </w:tcMar>
            <w:vAlign w:val="center"/>
          </w:tcPr>
          <w:p>
            <w:pPr>
              <w:jc w:val="left"/>
            </w:pPr>
            <w:r>
              <w:rPr>
                <w:b w:val="false"/>
                <w:bCs w:val="false"/>
                <w:i w:val="false"/>
                <w:iCs w:val="false"/>
                <w:sz w:val="17"/>
                <w:szCs w:val="17"/>
              </w:rPr>
              <w:t xml:space="preserve">Morning Security Briefings; Travel Advisory E-Mail / text / text-to-voice; Security Warnings – E-Mail / text / text-to-voice; Country Briefings (voice / E-Mail); Country E-Mail Alerts and information Intranet boards; S.A.F.E intranet boards; S.A.F.E Leaflets; Individual memos or letters.</w:t>
            </w:r>
          </w:p>
        </w:tc>
      </w:tr>
    </w:tbl>
    <w:p>
      <w:pPr>
        <w:spacing w:after="200" w:before="100"/>
      </w:pPr>
      <w:r>
        <w:rPr>
          <w:i/>
          <w:iCs/>
          <w:color w:val="555555"/>
          <w:sz w:val="16"/>
          <w:szCs w:val="16"/>
        </w:rPr>
        <w:t xml:space="preserve">Source: SWE085_1.PDF (CEP &amp; SEP Plans, 19 July 26), Sec. 7.0, Item 10, pp.23–24. “S.A.F.E” is used in the source without the acronym being expanded.</w:t>
      </w:r>
    </w:p>
    <w:p>
      <w:r>
        <w:br w:type="page"/>
      </w:r>
    </w:p>
    <w:p>
      <w:pPr>
        <w:pStyle w:val="Heading1"/>
        <w:spacing w:before="300"/>
      </w:pPr>
      <w:r>
        <w:rPr>
          <w:b/>
          <w:bCs/>
          <w:color w:val="1F4E78"/>
        </w:rPr>
        <w:t xml:space="preserve">4.0  Alert Levels &amp; Cascade to Personnel</w:t>
      </w:r>
    </w:p>
    <w:p>
      <w:pPr>
        <w:spacing w:after="150"/>
      </w:pPr>
      <w:r>
        <w:t xml:space="preserve">General Alert states are set by the SWDA Country Security Manager, taking into account the prevailing and anticipated security situation. Alert States are to be prominently displayed to ensure that personnel are aware of current alert states and any other security restrictions in place.</w:t>
      </w:r>
    </w:p>
    <w:p>
      <w:pPr>
        <w:spacing w:after="200" w:before="100"/>
      </w:pPr>
      <w:r>
        <w:rPr>
          <w:i/>
          <w:iCs/>
          <w:color w:val="555555"/>
          <w:sz w:val="16"/>
          <w:szCs w:val="16"/>
        </w:rPr>
        <w:t xml:space="preserve">Source: SWE085_1.PDF (CEP &amp; SEP Plans, 19 July 26), Sec. 7.0, Item 13 – Security Evacuation Plan, p.25.</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4540"/>
      </w:tblGrid>
      <w:tr>
        <w:tc>
          <w:tcPr>
            <w:tcW w:type="dxa" w:w="26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Level</w:t>
            </w:r>
          </w:p>
        </w:tc>
        <w:tc>
          <w:tcPr>
            <w:tcW w:type="dxa" w:w="22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Color Code</w:t>
            </w:r>
          </w:p>
        </w:tc>
        <w:tc>
          <w:tcPr>
            <w:tcW w:type="dxa" w:w="454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Descriptor</w:t>
            </w:r>
          </w:p>
        </w:tc>
      </w:tr>
      <w:tr>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1 – Very Low</w:t>
            </w:r>
          </w:p>
        </w:tc>
        <w:tc>
          <w:tcPr>
            <w:tcW w:type="dxa" w:w="2200"/>
            <w:tcMar>
              <w:top w:type="dxa" w:w="60"/>
              <w:left w:type="dxa" w:w="80"/>
              <w:bottom w:type="dxa" w:w="60"/>
              <w:right w:type="dxa" w:w="80"/>
            </w:tcMar>
            <w:vAlign w:val="center"/>
          </w:tcPr>
          <w:p>
            <w:pPr>
              <w:jc w:val="center"/>
            </w:pPr>
            <w:r>
              <w:rPr>
                <w:b w:val="false"/>
                <w:bCs w:val="false"/>
                <w:i w:val="false"/>
                <w:iCs w:val="false"/>
                <w:sz w:val="17"/>
                <w:szCs w:val="17"/>
              </w:rPr>
              <w:t xml:space="preserve">Blue</w:t>
            </w:r>
          </w:p>
        </w:tc>
        <w:tc>
          <w:tcPr>
            <w:tcW w:type="dxa" w:w="4540"/>
            <w:tcMar>
              <w:top w:type="dxa" w:w="60"/>
              <w:left w:type="dxa" w:w="80"/>
              <w:bottom w:type="dxa" w:w="60"/>
              <w:right w:type="dxa" w:w="80"/>
            </w:tcMar>
            <w:vAlign w:val="center"/>
          </w:tcPr>
          <w:p>
            <w:pPr>
              <w:jc w:val="center"/>
            </w:pPr>
            <w:r>
              <w:rPr>
                <w:b w:val="false"/>
                <w:bCs w:val="false"/>
                <w:i w:val="false"/>
                <w:iCs w:val="false"/>
                <w:sz w:val="17"/>
                <w:szCs w:val="17"/>
              </w:rPr>
              <w:t xml:space="preserve">Normal Situation</w:t>
            </w:r>
          </w:p>
        </w:tc>
      </w:tr>
      <w:tr>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2 – Low</w:t>
            </w:r>
          </w:p>
        </w:tc>
        <w:tc>
          <w:tcPr>
            <w:tcW w:type="dxa" w:w="2200"/>
            <w:tcMar>
              <w:top w:type="dxa" w:w="60"/>
              <w:left w:type="dxa" w:w="80"/>
              <w:bottom w:type="dxa" w:w="60"/>
              <w:right w:type="dxa" w:w="80"/>
            </w:tcMar>
            <w:vAlign w:val="center"/>
          </w:tcPr>
          <w:p>
            <w:pPr>
              <w:jc w:val="center"/>
            </w:pPr>
            <w:r>
              <w:rPr>
                <w:b w:val="false"/>
                <w:bCs w:val="false"/>
                <w:i w:val="false"/>
                <w:iCs w:val="false"/>
                <w:sz w:val="17"/>
                <w:szCs w:val="17"/>
              </w:rPr>
              <w:t xml:space="preserve">Green</w:t>
            </w:r>
          </w:p>
        </w:tc>
        <w:tc>
          <w:tcPr>
            <w:tcW w:type="dxa" w:w="4540"/>
            <w:tcMar>
              <w:top w:type="dxa" w:w="60"/>
              <w:left w:type="dxa" w:w="80"/>
              <w:bottom w:type="dxa" w:w="60"/>
              <w:right w:type="dxa" w:w="80"/>
            </w:tcMar>
            <w:vAlign w:val="center"/>
          </w:tcPr>
          <w:p>
            <w:pPr>
              <w:jc w:val="center"/>
            </w:pPr>
            <w:r>
              <w:rPr>
                <w:b w:val="false"/>
                <w:bCs w:val="false"/>
                <w:i w:val="false"/>
                <w:iCs w:val="false"/>
                <w:sz w:val="17"/>
                <w:szCs w:val="17"/>
              </w:rPr>
              <w:t xml:space="preserve">Preparation &amp; Planning</w:t>
            </w:r>
          </w:p>
        </w:tc>
      </w:tr>
      <w:tr>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3 – Medium</w:t>
            </w:r>
          </w:p>
        </w:tc>
        <w:tc>
          <w:tcPr>
            <w:tcW w:type="dxa" w:w="2200"/>
            <w:tcMar>
              <w:top w:type="dxa" w:w="60"/>
              <w:left w:type="dxa" w:w="80"/>
              <w:bottom w:type="dxa" w:w="60"/>
              <w:right w:type="dxa" w:w="80"/>
            </w:tcMar>
            <w:vAlign w:val="center"/>
          </w:tcPr>
          <w:p>
            <w:pPr>
              <w:jc w:val="center"/>
            </w:pPr>
            <w:r>
              <w:rPr>
                <w:b w:val="false"/>
                <w:bCs w:val="false"/>
                <w:i w:val="false"/>
                <w:iCs w:val="false"/>
                <w:sz w:val="17"/>
                <w:szCs w:val="17"/>
              </w:rPr>
              <w:t xml:space="preserve">Yellow</w:t>
            </w:r>
          </w:p>
        </w:tc>
        <w:tc>
          <w:tcPr>
            <w:tcW w:type="dxa" w:w="4540"/>
            <w:tcMar>
              <w:top w:type="dxa" w:w="60"/>
              <w:left w:type="dxa" w:w="80"/>
              <w:bottom w:type="dxa" w:w="60"/>
              <w:right w:type="dxa" w:w="80"/>
            </w:tcMar>
            <w:vAlign w:val="center"/>
          </w:tcPr>
          <w:p>
            <w:pPr>
              <w:jc w:val="center"/>
            </w:pPr>
            <w:r>
              <w:rPr>
                <w:b w:val="false"/>
                <w:bCs w:val="false"/>
                <w:i w:val="false"/>
                <w:iCs w:val="false"/>
                <w:sz w:val="17"/>
                <w:szCs w:val="17"/>
              </w:rPr>
              <w:t xml:space="preserve">Elevated Awareness</w:t>
            </w:r>
          </w:p>
        </w:tc>
      </w:tr>
      <w:tr>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4 – High</w:t>
            </w:r>
          </w:p>
        </w:tc>
        <w:tc>
          <w:tcPr>
            <w:tcW w:type="dxa" w:w="2200"/>
            <w:tcMar>
              <w:top w:type="dxa" w:w="60"/>
              <w:left w:type="dxa" w:w="80"/>
              <w:bottom w:type="dxa" w:w="60"/>
              <w:right w:type="dxa" w:w="80"/>
            </w:tcMar>
            <w:vAlign w:val="center"/>
          </w:tcPr>
          <w:p>
            <w:pPr>
              <w:jc w:val="center"/>
            </w:pPr>
            <w:r>
              <w:rPr>
                <w:b w:val="false"/>
                <w:bCs w:val="false"/>
                <w:i w:val="false"/>
                <w:iCs w:val="false"/>
                <w:sz w:val="17"/>
                <w:szCs w:val="17"/>
              </w:rPr>
              <w:t xml:space="preserve">Orange</w:t>
            </w:r>
          </w:p>
        </w:tc>
        <w:tc>
          <w:tcPr>
            <w:tcW w:type="dxa" w:w="4540"/>
            <w:tcMar>
              <w:top w:type="dxa" w:w="60"/>
              <w:left w:type="dxa" w:w="80"/>
              <w:bottom w:type="dxa" w:w="60"/>
              <w:right w:type="dxa" w:w="80"/>
            </w:tcMar>
            <w:vAlign w:val="center"/>
          </w:tcPr>
          <w:p>
            <w:pPr>
              <w:jc w:val="center"/>
            </w:pPr>
            <w:r>
              <w:rPr>
                <w:b w:val="false"/>
                <w:bCs w:val="false"/>
                <w:i w:val="false"/>
                <w:iCs w:val="false"/>
                <w:sz w:val="17"/>
                <w:szCs w:val="17"/>
              </w:rPr>
              <w:t xml:space="preserve">Security Approvals</w:t>
            </w:r>
          </w:p>
        </w:tc>
      </w:tr>
      <w:tr>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5 – Very High</w:t>
            </w:r>
          </w:p>
        </w:tc>
        <w:tc>
          <w:tcPr>
            <w:tcW w:type="dxa" w:w="2200"/>
            <w:tcMar>
              <w:top w:type="dxa" w:w="60"/>
              <w:left w:type="dxa" w:w="80"/>
              <w:bottom w:type="dxa" w:w="60"/>
              <w:right w:type="dxa" w:w="80"/>
            </w:tcMar>
            <w:vAlign w:val="center"/>
          </w:tcPr>
          <w:p>
            <w:pPr>
              <w:jc w:val="center"/>
            </w:pPr>
            <w:r>
              <w:rPr>
                <w:b w:val="false"/>
                <w:bCs w:val="false"/>
                <w:i w:val="false"/>
                <w:iCs w:val="false"/>
                <w:sz w:val="17"/>
                <w:szCs w:val="17"/>
              </w:rPr>
              <w:t xml:space="preserve">Red</w:t>
            </w:r>
          </w:p>
        </w:tc>
        <w:tc>
          <w:tcPr>
            <w:tcW w:type="dxa" w:w="4540"/>
            <w:tcMar>
              <w:top w:type="dxa" w:w="60"/>
              <w:left w:type="dxa" w:w="80"/>
              <w:bottom w:type="dxa" w:w="60"/>
              <w:right w:type="dxa" w:w="80"/>
            </w:tcMar>
            <w:vAlign w:val="center"/>
          </w:tcPr>
          <w:p>
            <w:pPr>
              <w:jc w:val="center"/>
            </w:pPr>
            <w:r>
              <w:rPr>
                <w:b w:val="false"/>
                <w:bCs w:val="false"/>
                <w:i w:val="false"/>
                <w:iCs w:val="false"/>
                <w:sz w:val="17"/>
                <w:szCs w:val="17"/>
              </w:rPr>
              <w:t xml:space="preserve">Stand Fast</w:t>
            </w:r>
          </w:p>
        </w:tc>
      </w:tr>
      <w:tr>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6 – Unacceptable</w:t>
            </w:r>
          </w:p>
        </w:tc>
        <w:tc>
          <w:tcPr>
            <w:tcW w:type="dxa" w:w="2200"/>
            <w:tcMar>
              <w:top w:type="dxa" w:w="60"/>
              <w:left w:type="dxa" w:w="80"/>
              <w:bottom w:type="dxa" w:w="60"/>
              <w:right w:type="dxa" w:w="80"/>
            </w:tcMar>
            <w:vAlign w:val="center"/>
          </w:tcPr>
          <w:p>
            <w:pPr>
              <w:jc w:val="center"/>
            </w:pPr>
            <w:r>
              <w:rPr>
                <w:b w:val="false"/>
                <w:bCs w:val="false"/>
                <w:i w:val="false"/>
                <w:iCs w:val="false"/>
                <w:sz w:val="17"/>
                <w:szCs w:val="17"/>
              </w:rPr>
              <w:t xml:space="preserve">Black</w:t>
            </w:r>
          </w:p>
        </w:tc>
        <w:tc>
          <w:tcPr>
            <w:tcW w:type="dxa" w:w="4540"/>
            <w:tcMar>
              <w:top w:type="dxa" w:w="60"/>
              <w:left w:type="dxa" w:w="80"/>
              <w:bottom w:type="dxa" w:w="60"/>
              <w:right w:type="dxa" w:w="80"/>
            </w:tcMar>
            <w:vAlign w:val="center"/>
          </w:tcPr>
          <w:p>
            <w:pPr>
              <w:jc w:val="center"/>
            </w:pPr>
            <w:r>
              <w:rPr>
                <w:b w:val="false"/>
                <w:bCs w:val="false"/>
                <w:i w:val="false"/>
                <w:iCs w:val="false"/>
                <w:sz w:val="17"/>
                <w:szCs w:val="17"/>
              </w:rPr>
              <w:t xml:space="preserve">Evacuation</w:t>
            </w:r>
          </w:p>
        </w:tc>
      </w:tr>
    </w:tbl>
    <w:p>
      <w:pPr>
        <w:spacing w:after="200" w:before="100"/>
      </w:pPr>
      <w:r>
        <w:rPr>
          <w:i/>
          <w:iCs/>
          <w:color w:val="555555"/>
          <w:sz w:val="16"/>
          <w:szCs w:val="16"/>
        </w:rPr>
        <w:t xml:space="preserve">Source: SWE085_1.PDF (CEP &amp; SEP Plans, 19 July 26), Sec. 7.0, Item 13, p.25.</w:t>
      </w:r>
    </w:p>
    <w:p>
      <w:pPr>
        <w:pStyle w:val="Heading2"/>
      </w:pPr>
      <w:r>
        <w:rPr>
          <w:b/>
          <w:bCs/>
          <w:color w:val="2E75B6"/>
        </w:rPr>
        <w:t xml:space="preserve">4.1  Alert State Change Dissemination</w:t>
      </w:r>
    </w:p>
    <w:p>
      <w:pPr>
        <w:spacing w:after="150"/>
      </w:pPr>
      <w:r>
        <w:t xml:space="preserve">Any change in the Alert State is reported to on-site and off-site personnel, senior management both in and out of the Country, and to affiliated security and medical response organisations.</w:t>
      </w:r>
    </w:p>
    <w:p>
      <w:pPr>
        <w:spacing w:after="200" w:before="100"/>
      </w:pPr>
      <w:r>
        <w:rPr>
          <w:i/>
          <w:iCs/>
          <w:color w:val="555555"/>
          <w:sz w:val="16"/>
          <w:szCs w:val="16"/>
        </w:rPr>
        <w:t xml:space="preserve">Source: SWE085_1.PDF (CEP &amp; SEP Plans, 19 July 26), Sec. 7.0, Item 13, p.25.</w:t>
      </w:r>
    </w:p>
    <w:p>
      <w:pPr>
        <w:pStyle w:val="Heading1"/>
        <w:spacing w:before="300"/>
      </w:pPr>
      <w:r>
        <w:rPr>
          <w:b/>
          <w:bCs/>
          <w:color w:val="1F4E78"/>
        </w:rPr>
        <w:t xml:space="preserve">5.0  Escalation to Crisis Management Team (CMT)</w:t>
      </w:r>
    </w:p>
    <w:p>
      <w:pPr>
        <w:pStyle w:val="Heading2"/>
      </w:pPr>
      <w:r>
        <w:rPr>
          <w:b/>
          <w:bCs/>
          <w:color w:val="2E75B6"/>
        </w:rPr>
        <w:t xml:space="preserve">5.1  Local Site Evacuation</w:t>
      </w:r>
    </w:p>
    <w:p>
      <w:pPr>
        <w:spacing w:after="150"/>
      </w:pPr>
      <w:r>
        <w:t xml:space="preserve">Local evacuation of a site or location may be required with very short notice. The Senior SWDA Director or Supervisor on-site should, where possible, inform their line manager or the SWDA Lead Security Manager before evacuating any location. The incident is reported as soon as possible through the Line Manager and/or SWDA Lead Security Manager, and personnel remain in a safe location for further instructions. The SWDA Crisis Management Team (CMT) will be convened if the situation dictates.</w:t>
      </w:r>
    </w:p>
    <w:p>
      <w:pPr>
        <w:spacing w:after="200" w:before="100"/>
      </w:pPr>
      <w:r>
        <w:rPr>
          <w:i/>
          <w:iCs/>
          <w:color w:val="555555"/>
          <w:sz w:val="16"/>
          <w:szCs w:val="16"/>
        </w:rPr>
        <w:t xml:space="preserve">Source: SWE085_1.PDF (CEP &amp; SEP Plans, 19 July 26), Sec. 7.0, Item 13, p.26.</w:t>
      </w:r>
    </w:p>
    <w:p>
      <w:pPr>
        <w:pStyle w:val="Heading2"/>
      </w:pPr>
      <w:r>
        <w:rPr>
          <w:b/>
          <w:bCs/>
          <w:color w:val="2E75B6"/>
        </w:rPr>
        <w:t xml:space="preserve">5.2  Larger Scale Evacuations</w:t>
      </w:r>
    </w:p>
    <w:p>
      <w:pPr>
        <w:spacing w:after="150"/>
      </w:pPr>
      <w:r>
        <w:t xml:space="preserve">Larger scale evacuations involving significant operational and asset implications are decided by the CMT, which confers on the correct course of action in response to an incident. Where possible, a progressive evacuation of non-emergency personnel is conducted, with the CMT remaining as the last evacuees.</w:t>
      </w:r>
    </w:p>
    <w:p>
      <w:pPr>
        <w:spacing w:after="200" w:before="100"/>
      </w:pPr>
      <w:r>
        <w:rPr>
          <w:i/>
          <w:iCs/>
          <w:color w:val="555555"/>
          <w:sz w:val="16"/>
          <w:szCs w:val="16"/>
        </w:rPr>
        <w:t xml:space="preserve">Source: SWE085_1.PDF (CEP &amp; SEP Plans, 19 July 26), Sec. 7.0, Item 13, p.26.</w:t>
      </w:r>
    </w:p>
    <w:p>
      <w:pPr>
        <w:pStyle w:val="Heading2"/>
      </w:pPr>
      <w:r>
        <w:rPr>
          <w:b/>
          <w:bCs/>
          <w:color w:val="2E75B6"/>
        </w:rPr>
        <w:t xml:space="preserve">5.3  Crisis Management Team (CMT) Composition</w:t>
      </w:r>
    </w:p>
    <w:p>
      <w:pPr>
        <w:spacing w:after="150"/>
      </w:pPr>
      <w:r>
        <w:t xml:space="preserve">As a minimum, the CMT is composed of:</w:t>
      </w:r>
    </w:p>
    <w:p>
      <w:pPr>
        <w:pStyle w:val="ListParagraph"/>
        <w:numPr>
          <w:ilvl w:val="0"/>
          <w:numId w:val="1"/>
        </w:numPr>
        <w:spacing w:after="60"/>
      </w:pPr>
      <w:r>
        <w:rPr>
          <w:sz w:val="20"/>
          <w:szCs w:val="20"/>
        </w:rPr>
        <w:t xml:space="preserve">SWDA CEO / MD</w:t>
      </w:r>
    </w:p>
    <w:p>
      <w:pPr>
        <w:pStyle w:val="ListParagraph"/>
        <w:numPr>
          <w:ilvl w:val="0"/>
          <w:numId w:val="1"/>
        </w:numPr>
        <w:spacing w:after="60"/>
      </w:pPr>
      <w:r>
        <w:rPr>
          <w:sz w:val="20"/>
          <w:szCs w:val="20"/>
        </w:rPr>
        <w:t xml:space="preserve">SWDA Operations Director</w:t>
      </w:r>
    </w:p>
    <w:p>
      <w:pPr>
        <w:pStyle w:val="ListParagraph"/>
        <w:numPr>
          <w:ilvl w:val="0"/>
          <w:numId w:val="1"/>
        </w:numPr>
        <w:spacing w:after="60"/>
      </w:pPr>
      <w:r>
        <w:rPr>
          <w:sz w:val="20"/>
          <w:szCs w:val="20"/>
        </w:rPr>
        <w:t xml:space="preserve">PSC Operations Manager</w:t>
      </w:r>
    </w:p>
    <w:p>
      <w:pPr>
        <w:pStyle w:val="ListParagraph"/>
        <w:numPr>
          <w:ilvl w:val="0"/>
          <w:numId w:val="1"/>
        </w:numPr>
        <w:spacing w:after="60"/>
      </w:pPr>
      <w:r>
        <w:rPr>
          <w:sz w:val="20"/>
          <w:szCs w:val="20"/>
        </w:rPr>
        <w:t xml:space="preserve">SWDA HSE Manager</w:t>
      </w:r>
    </w:p>
    <w:p>
      <w:pPr>
        <w:pStyle w:val="ListParagraph"/>
        <w:numPr>
          <w:ilvl w:val="0"/>
          <w:numId w:val="1"/>
        </w:numPr>
        <w:spacing w:after="60"/>
      </w:pPr>
      <w:r>
        <w:rPr>
          <w:sz w:val="20"/>
          <w:szCs w:val="20"/>
        </w:rPr>
        <w:t xml:space="preserve">SWDA On-Site Manager / Supervisor</w:t>
      </w:r>
    </w:p>
    <w:p>
      <w:pPr>
        <w:spacing w:after="150"/>
      </w:pPr>
      <w:r>
        <w:t xml:space="preserve">Other staff may be included as and when required. Evacuation of a particular work location is managed by the Senior SWDA Security/Supervisory staff at that site, with reports provided to the SWDA Security Manager as soon as possible.</w:t>
      </w:r>
    </w:p>
    <w:p>
      <w:pPr>
        <w:spacing w:after="200" w:before="100"/>
      </w:pPr>
      <w:r>
        <w:rPr>
          <w:i/>
          <w:iCs/>
          <w:color w:val="555555"/>
          <w:sz w:val="16"/>
          <w:szCs w:val="16"/>
        </w:rPr>
        <w:t xml:space="preserve">Source: SWE085_1.PDF (CEP &amp; SEP Plans, 19 July 26), Sec. 7.0, Item 13, p.26.</w:t>
      </w:r>
    </w:p>
    <w:p>
      <w:pPr>
        <w:pStyle w:val="Heading1"/>
        <w:spacing w:before="300"/>
      </w:pPr>
      <w:r>
        <w:rPr>
          <w:b/>
          <w:bCs/>
          <w:color w:val="1F4E78"/>
        </w:rPr>
        <w:t xml:space="preserve">6.0  Management Endorsement</w:t>
      </w:r>
    </w:p>
    <w:p>
      <w:pPr>
        <w:spacing w:after="150"/>
      </w:pPr>
      <w:r>
        <w:t xml:space="preserve">This Security Alert Dissemination &amp; Cascade document is issued for use on the SWDA–RAEC NME Tank Cleaning Project and is subject to review and endorsement in line with SWDA's HSE Policy sign-off convention.</w:t>
      </w:r>
    </w:p>
    <w:p>
      <w:pPr>
        <w:spacing w:after="200" w:before="100"/>
      </w:pPr>
      <w:r>
        <w:rPr>
          <w:i/>
          <w:iCs/>
          <w:color w:val="555555"/>
          <w:sz w:val="16"/>
          <w:szCs w:val="16"/>
        </w:rPr>
        <w:t xml:space="preserve">Reference: SWDA–RAEC HSE Plan (17 July 26), Policy Statements, each “SIGNED: 02/01/2026, CEO / Managing Director.”</w:t>
      </w:r>
    </w:p>
    <w:p>
      <w:pPr>
        <w:spacing w:before="500"/>
      </w:pPr>
      <w:r>
        <w:rPr>
          <w:b/>
          <w:bCs/>
        </w:rPr>
        <w:t xml:space="preserve">SIGNED: _______________________________</w:t>
      </w:r>
    </w:p>
    <w:p>
      <w:pPr>
        <w:spacing w:before="300"/>
      </w:pPr>
      <w:r>
        <w:rPr>
          <w:b/>
          <w:bCs/>
        </w:rPr>
        <w:t xml:space="preserve">DATE:   _______________________________</w:t>
      </w:r>
    </w:p>
    <w:p>
      <w:pPr>
        <w:spacing w:before="300"/>
      </w:pPr>
      <w:r>
        <w:rPr>
          <w:b/>
          <w:bCs/>
        </w:rPr>
        <w:t xml:space="preserve">CEO / MANAGING DIRECTOR</w:t>
      </w:r>
    </w:p>
    <w:p>
      <w:r>
        <w:rPr>
          <w:sz w:val="18"/>
          <w:szCs w:val="18"/>
        </w:rPr>
        <w:t xml:space="preserve">South West Design Africa Limited (SWDA)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4"/>
        <w:szCs w:val="14"/>
      </w:rPr>
      <w:t xml:space="preserve">Security Alert Dissemination &amp; Cascade — Page </w:t>
    </w:r>
    <w:r>
      <w:rPr>
        <w:color w:val="555555"/>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4"/>
        <w:szCs w:val="14"/>
      </w:rPr>
      <w:t xml:space="preserve">SWDA – RAEC NME Tank Cleaning Project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2026-08-05T13:16:25.771Z</dcterms:created>
  <dcterms:modified xsi:type="dcterms:W3CDTF">2026-08-05T13:16:25.789Z</dcterms:modified>
</cp:coreProperties>
</file>

<file path=docProps/custom.xml><?xml version="1.0" encoding="utf-8"?>
<Properties xmlns="http://schemas.openxmlformats.org/officeDocument/2006/custom-properties" xmlns:vt="http://schemas.openxmlformats.org/officeDocument/2006/docPropsVTypes"/>
</file>